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45461F"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5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北京师范大学淮南实验学校</w:t>
      </w:r>
    </w:p>
    <w:p w14:paraId="23DF2C9E"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项目支出绩效自评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报告</w:t>
      </w:r>
    </w:p>
    <w:p w14:paraId="103AF1D1"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 w14:paraId="0AD5F681">
      <w:pPr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一、自评工作开展情况</w:t>
      </w:r>
    </w:p>
    <w:p w14:paraId="773A23D6">
      <w:pPr>
        <w:spacing w:line="560" w:lineRule="exact"/>
        <w:ind w:firstLine="560" w:firstLineChars="200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根据安徽省、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淮南市</w:t>
      </w:r>
      <w:r>
        <w:rPr>
          <w:rFonts w:hint="eastAsia" w:ascii="仿宋_GB2312" w:hAnsi="仿宋_GB2312" w:eastAsia="仿宋_GB2312" w:cs="仿宋_GB2312"/>
          <w:sz w:val="28"/>
          <w:szCs w:val="28"/>
        </w:rPr>
        <w:t>高新区财政绩效自评相关管理规定，结合我校2025年办学保障项目资金执行情况，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我校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对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sz w:val="28"/>
          <w:szCs w:val="28"/>
        </w:rPr>
        <w:t>年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2025＿城乡义务教育生均公用经费</w:t>
      </w:r>
      <w:r>
        <w:rPr>
          <w:rFonts w:hint="eastAsia" w:ascii="仿宋_GB2312" w:hAnsi="仿宋_GB2312" w:eastAsia="仿宋_GB2312" w:cs="仿宋_GB2312"/>
          <w:sz w:val="28"/>
          <w:szCs w:val="28"/>
        </w:rPr>
        <w:t>项目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＿小学、北师大小初部日常运转经费、北师大淮南实验学校高中部经费项目</w:t>
      </w:r>
      <w:r>
        <w:rPr>
          <w:rFonts w:hint="eastAsia" w:ascii="仿宋_GB2312" w:hAnsi="仿宋_GB2312" w:eastAsia="仿宋_GB2312" w:cs="仿宋_GB2312"/>
          <w:sz w:val="28"/>
          <w:szCs w:val="28"/>
        </w:rPr>
        <w:t>绩效目标完成情况进行了自评，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自评工作严格按照流程规范梳理资金使用去向、项目实施进度、任务完成成效、指标达成情况，逐项核查佐证资料、归集归档绩效材料，全面客观、实事求是完成整体绩效自评全流程工作，确保自评内容真实完整、数据精准规范、评价依据充分。</w:t>
      </w:r>
      <w:r>
        <w:rPr>
          <w:rFonts w:hint="eastAsia" w:ascii="仿宋_GB2312" w:hAnsi="仿宋_GB2312" w:eastAsia="仿宋_GB2312" w:cs="仿宋_GB2312"/>
          <w:sz w:val="28"/>
          <w:szCs w:val="28"/>
        </w:rPr>
        <w:t>预算总金额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1934.54</w:t>
      </w:r>
      <w:r>
        <w:rPr>
          <w:rFonts w:hint="eastAsia" w:ascii="仿宋_GB2312" w:hAnsi="仿宋_GB2312" w:eastAsia="仿宋_GB2312" w:cs="仿宋_GB2312"/>
          <w:sz w:val="28"/>
          <w:szCs w:val="28"/>
        </w:rPr>
        <w:t>万元，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全年执行数1901.62万元，综合执行率98.77%。</w:t>
      </w:r>
    </w:p>
    <w:p w14:paraId="01655451">
      <w:pPr>
        <w:numPr>
          <w:ilvl w:val="0"/>
          <w:numId w:val="1"/>
        </w:numPr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自评结果概述</w:t>
      </w:r>
    </w:p>
    <w:p w14:paraId="71308413">
      <w:pPr>
        <w:numPr>
          <w:ilvl w:val="0"/>
          <w:numId w:val="0"/>
        </w:numPr>
        <w:spacing w:line="560" w:lineRule="exact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   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2025年度，我部门坚决贯彻落实各项工作部署，紧扣年初既定整体绩效目标、年度重点工作任务统筹推进各项业务开展，规范预算资金分配、拨付、使用与管控，从严落实厉行节约、严控一般性支出要求，全年各项重点工作有序落地、履职效能稳步提升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，项目支出绩效自评得分98.77分。</w:t>
      </w:r>
    </w:p>
    <w:p w14:paraId="346E354A">
      <w:pPr>
        <w:numPr>
          <w:ilvl w:val="0"/>
          <w:numId w:val="0"/>
        </w:numPr>
        <w:spacing w:line="560" w:lineRule="exact"/>
        <w:ind w:firstLine="560" w:firstLineChars="200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通过各类预算资金规范高效使用，有力保障了部门日常正常运转、专项工作顺利实施、公共服务提质增效，有效夯实日常事务管理基础，提升政务服务效率、内部管理规范化水平与综合履职保障能力，各项既定工作任务基本按期保质完成，资金使用效益整体良好。</w:t>
      </w:r>
    </w:p>
    <w:p w14:paraId="50CCF26F">
      <w:pPr>
        <w:numPr>
          <w:ilvl w:val="0"/>
          <w:numId w:val="0"/>
        </w:numPr>
        <w:spacing w:line="560" w:lineRule="exact"/>
        <w:ind w:firstLine="560" w:firstLineChars="200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本次自评也梳理出部分短板问题：部分专项工作受年度政策调整、工作时序变动、业务统筹衔接等因素影响，个别绩效指标实际完成值与年初预设目标存在一定偏差；预算事前测算精细化程度不足，预算执行进度均衡性有待加强；绩效全过程跟踪管控不够细致，常态化绩效监控频次不足。针对上述问题，我部门深入剖析主客观原因，逐项梳理整改方向，压实资金管理责任，优化支出结构，细化过程管控，切实补齐绩效管理薄弱环节。</w:t>
      </w:r>
    </w:p>
    <w:p w14:paraId="4D152FE2">
      <w:pPr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三、下一步工作措施</w:t>
      </w:r>
    </w:p>
    <w:p w14:paraId="53E678E5">
      <w:pPr>
        <w:spacing w:line="560" w:lineRule="exact"/>
        <w:ind w:firstLine="560" w:firstLineChars="200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一是强化绩效结果运用，及时做好自评问题梳理、汇总、通报与闭环整改，将绩效自评结果与下一年度预算编制、资金额度分配紧密挂钩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，对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低效低效项目从严核减预算，成效优良项目优先保障资金。</w:t>
      </w:r>
    </w:p>
    <w:p w14:paraId="2B643D53">
      <w:pPr>
        <w:spacing w:line="560" w:lineRule="exact"/>
        <w:ind w:firstLine="560" w:firstLineChars="200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二是持续提升预算编制精准度，科学合理测算年度收支需求，细化项目绩效指标，压实预算执行时序管控，加快规范资金支付进度，杜绝资金沉淀、闲置及执行不均衡问题。</w:t>
      </w:r>
    </w:p>
    <w:p w14:paraId="51BF4E06">
      <w:pPr>
        <w:spacing w:line="560" w:lineRule="exact"/>
        <w:ind w:firstLine="560" w:firstLineChars="200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三是健全全过程预</w:t>
      </w:r>
      <w:bookmarkStart w:id="0" w:name="_GoBack"/>
      <w:bookmarkEnd w:id="0"/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算绩效管理机制，常态化开展事前评估、事中动态监控、事后绩效评价，完善档案归集、资料留存、台账管理，不断规范资金使用流程。</w:t>
      </w:r>
    </w:p>
    <w:p w14:paraId="3AED02C3">
      <w:pPr>
        <w:spacing w:line="560" w:lineRule="exact"/>
        <w:ind w:firstLine="560" w:firstLineChars="200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四是优化内部管理制度，加强财务与业务协同联动，压实岗位管理责任，持续提升资金使用效益、项目实施质效与部门整体绩效管理水平。</w:t>
      </w:r>
    </w:p>
    <w:p w14:paraId="7E3BA4A2">
      <w:pPr>
        <w:spacing w:line="560" w:lineRule="exact"/>
        <w:jc w:val="right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0095F829">
      <w:pPr>
        <w:spacing w:line="560" w:lineRule="exact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02B27A2A">
      <w:pPr>
        <w:wordWrap w:val="0"/>
        <w:spacing w:line="560" w:lineRule="exact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北京师范大学淮南实验学校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</w:t>
      </w:r>
    </w:p>
    <w:p w14:paraId="6C36D920">
      <w:pPr>
        <w:ind w:firstLine="4160" w:firstLineChars="1300"/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年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月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日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BD8C316"/>
    <w:multiLevelType w:val="singleLevel"/>
    <w:tmpl w:val="6BD8C316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360487"/>
    <w:rsid w:val="16C66EDB"/>
    <w:rsid w:val="207451CF"/>
    <w:rsid w:val="39096AFA"/>
    <w:rsid w:val="41360487"/>
    <w:rsid w:val="48590834"/>
    <w:rsid w:val="7CA91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1037</Words>
  <Characters>1077</Characters>
  <Lines>0</Lines>
  <Paragraphs>0</Paragraphs>
  <TotalTime>19</TotalTime>
  <ScaleCrop>false</ScaleCrop>
  <LinksUpToDate>false</LinksUpToDate>
  <CharactersWithSpaces>1096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2026-06-23T03:14:00Z</dcterms:created>
  <dc:creator>a连</dc:creator>
  <cp:lastModifiedBy>a连</cp:lastModifiedBy>
  <dcterms:modified xsi:type="dcterms:W3CDTF">2026-06-29T06:40:35Z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D84A275FC83B4A16BB43CE35E645A90E_11</vt:lpwstr>
  </property>
  <property fmtid="{D5CDD505-2E9C-101B-9397-08002B2CF9AE}" pid="4" name="KSOTemplateDocerSaveRecord">
    <vt:lpwstr>eyJoZGlkIjoiODI1NGRhM2U1NDJhMjI2ZGE1MGE5YTQ3OWMwMWRmZjMiLCJ1c2VySWQiOiI5MTY2OTM1NjkifQ==</vt:lpwstr>
  </property>
</Properties>
</file>