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04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firstLine="964" w:firstLineChars="300"/>
        <w:textAlignment w:val="auto"/>
        <w:rPr>
          <w:rFonts w:hint="default" w:ascii="TimesNewRoman" w:hAnsi="TimesNewRoman" w:eastAsia="华文中宋" w:cs="TimesNewRoman"/>
          <w:b/>
          <w:bCs/>
          <w:kern w:val="0"/>
          <w:szCs w:val="32"/>
          <w:highlight w:val="none"/>
        </w:rPr>
      </w:pPr>
      <w:r>
        <w:rPr>
          <w:rFonts w:hint="default" w:ascii="TimesNewRoman" w:hAnsi="TimesNewRoman" w:eastAsia="华文中宋" w:cs="TimesNewRoman"/>
          <w:b/>
          <w:bCs/>
          <w:kern w:val="0"/>
          <w:szCs w:val="32"/>
          <w:highlight w:val="none"/>
        </w:rPr>
        <w:t xml:space="preserve"> </w:t>
      </w:r>
      <w:r>
        <w:rPr>
          <w:rFonts w:hint="eastAsia" w:ascii="TimesNewRoman" w:hAnsi="TimesNewRoman" w:eastAsia="华文中宋" w:cs="TimesNewRoman"/>
          <w:b/>
          <w:bCs/>
          <w:kern w:val="0"/>
          <w:szCs w:val="32"/>
          <w:highlight w:val="none"/>
          <w:lang w:eastAsia="zh-CN"/>
        </w:rPr>
        <w:t>淮南高新区山南黄山小学2026</w:t>
      </w:r>
      <w:r>
        <w:rPr>
          <w:rFonts w:hint="default" w:ascii="TimesNewRoman" w:hAnsi="TimesNewRoman" w:eastAsia="华文中宋" w:cs="TimesNewRoman"/>
          <w:b/>
          <w:bCs/>
          <w:kern w:val="0"/>
          <w:szCs w:val="32"/>
          <w:highlight w:val="none"/>
        </w:rPr>
        <w:t>年收支总表</w:t>
      </w:r>
    </w:p>
    <w:p w14:paraId="0F62918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default" w:ascii="TimesNewRoman" w:hAnsi="TimesNewRoman" w:cs="TimesNewRoman"/>
          <w:kern w:val="0"/>
          <w:sz w:val="20"/>
          <w:highlight w:val="none"/>
        </w:rPr>
      </w:pPr>
      <w:r>
        <w:rPr>
          <w:rFonts w:hint="default" w:ascii="TimesNewRoman" w:hAnsi="TimesNewRoman" w:cs="TimesNewRoman"/>
          <w:kern w:val="0"/>
          <w:sz w:val="20"/>
          <w:highlight w:val="none"/>
        </w:rPr>
        <w:t xml:space="preserve">                                                                          单位：万元</w:t>
      </w:r>
    </w:p>
    <w:tbl>
      <w:tblPr>
        <w:tblStyle w:val="2"/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6"/>
        <w:gridCol w:w="933"/>
        <w:gridCol w:w="3216"/>
        <w:gridCol w:w="1255"/>
      </w:tblGrid>
      <w:tr w14:paraId="0A474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4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300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收            入             </w:t>
            </w:r>
          </w:p>
        </w:tc>
        <w:tc>
          <w:tcPr>
            <w:tcW w:w="259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927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          出</w:t>
            </w:r>
          </w:p>
        </w:tc>
      </w:tr>
      <w:tr w14:paraId="64210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C8B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 入 项 目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041A2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预算数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22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支出功能分类科目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7F4BC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预算数</w:t>
            </w:r>
          </w:p>
        </w:tc>
      </w:tr>
      <w:tr w14:paraId="59205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DD1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一、一般公共预算拨款收入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3D758C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255.45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F48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一、一般公共服务支出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627B96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44B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A4F6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其中：中央转移支付收入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71F903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DF8F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二、外交支出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60184D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7E1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ADD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2C51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EC99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三、国防支出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5E4A1F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9D5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8B1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二、政府性基金预算拨款收入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14C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7AC43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四、公共安全支出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CE8E22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8AE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24B4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其中：中央转移支付收入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04D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63B28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五、教育支出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1B90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187.24</w:t>
            </w:r>
          </w:p>
        </w:tc>
      </w:tr>
      <w:tr w14:paraId="50774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424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0C0A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545A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六、科学技术支出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C8E8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867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FF655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三、国有资本经营预算拨款收入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99E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11CC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七、文化旅游体育与传媒支出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86C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11B6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86F0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其中：中央转移支付收入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DAD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FBAC7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八、社会保障和就业支出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1D9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20.82</w:t>
            </w:r>
          </w:p>
        </w:tc>
      </w:tr>
      <w:tr w14:paraId="059F0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F48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642F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0CBF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九、卫生健康支出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E3AC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13.76</w:t>
            </w:r>
          </w:p>
        </w:tc>
      </w:tr>
      <w:tr w14:paraId="286E2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19C1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四、财政专户管理资金收入</w:t>
            </w:r>
          </w:p>
        </w:tc>
        <w:tc>
          <w:tcPr>
            <w:tcW w:w="2087" w:type="pc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C71FE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767F7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十、节能环保支出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62A6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E99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1FC9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0B5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188B1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十一、城乡社区支出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8AB4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D85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656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五、单位资金收入</w:t>
            </w:r>
          </w:p>
        </w:tc>
        <w:tc>
          <w:tcPr>
            <w:tcW w:w="2087" w:type="pc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CE5BB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 w14:paraId="653F9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十二、农林水支出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FEE0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660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4158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其中：事业收入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9A1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 w14:paraId="441EB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十三、交通运输支出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B7F33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A80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E77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事业单位经营收入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25A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 w14:paraId="2AA84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十四、资源勘探工业信息等支出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7EE39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AD1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4CF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上级补助收入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7D3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 w14:paraId="1DDEC7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十五、商业服务业等支出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D270B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CEB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C7F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附属单位上缴收入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42CE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2E9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十六、金融支出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52C8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5B8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D07D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其他收入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F50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872E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十七、援助其他地区支出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A51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9CC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125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356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7820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十八、自然资源海洋气象等支出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76C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FD2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8DDB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ADD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91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十九、住房保障支出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021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33.64</w:t>
            </w:r>
          </w:p>
        </w:tc>
      </w:tr>
      <w:tr w14:paraId="23329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D385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B90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756D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二十、粮油物资储备支出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AEB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620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83E5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BDB9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EAA1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二十一、灾害防治及应急管理支出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AE5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489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2216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BF0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368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二十二、预备费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443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E0F4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47B3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21F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DE0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二十三、其他支出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D29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CC5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73FE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F9D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B1C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二十四、转移性支出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9E5F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94C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106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0F6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B2AF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二十五、债务还本支出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201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27D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2A07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A700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F45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二十六、债务付息支出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9E4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E2A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4678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32BF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BB7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二十七、债务发行费用支出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70F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687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0B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  年  收  入  小  计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0B7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255.45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312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  年  支  出  小  计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387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255.45</w:t>
            </w:r>
          </w:p>
        </w:tc>
      </w:tr>
      <w:tr w14:paraId="5F374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BF68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上年结转数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208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C16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结转下年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ECD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24A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A38C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一般公共预算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D33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C0E4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一般公共预算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FE0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DE55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54F8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政府性基金预算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3E9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598E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政府性基金预算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FB3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A2E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7C0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国有资本经营预算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6B97F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8FC8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国有资本经营预算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F90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0E4B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4039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财政专户管理资金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A02C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68F3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财政专户管理资金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8FC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77F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55A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单位资金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1F32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03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单位资金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71A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034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B45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   入   总   计</w:t>
            </w:r>
          </w:p>
        </w:tc>
        <w:tc>
          <w:tcPr>
            <w:tcW w:w="20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1A7E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255.45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278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　出  总　计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CE89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255.45</w:t>
            </w:r>
          </w:p>
        </w:tc>
      </w:tr>
    </w:tbl>
    <w:p w14:paraId="01ED85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imesNewRoman">
    <w:altName w:val="Times New Roman"/>
    <w:panose1 w:val="02020603050405020304"/>
    <w:charset w:val="00"/>
    <w:family w:val="auto"/>
    <w:pitch w:val="default"/>
    <w:sig w:usb0="00000000" w:usb1="00000000" w:usb2="00000029" w:usb3="00000000" w:csb0="6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6322C1"/>
    <w:rsid w:val="5963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2026-02-05T08:11:00Z</dcterms:created>
  <dc:creator>WPS_1653182991</dc:creator>
  <cp:lastModifiedBy>WPS_1653182991</cp:lastModifiedBy>
  <dcterms:modified xsi:type="dcterms:W3CDTF">2026-02-05T08:19:25Z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8188AD81504D4485895D940896FFC06D_11</vt:lpwstr>
  </property>
  <property fmtid="{D5CDD505-2E9C-101B-9397-08002B2CF9AE}" pid="4" name="KSOTemplateDocerSaveRecord">
    <vt:lpwstr>eyJoZGlkIjoiOTA4ODE1ZWRjMjBjYWYxMjE3NDBkMDNlYjc1NDNkZDEiLCJ1c2VySWQiOiIxMzc2ODgzOTk4In0=</vt:lpwstr>
  </property>
</Properties>
</file>