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after="0" w:afterAutospacing="0" w:line="360" w:lineRule="auto"/>
        <w:ind w:left="420" w:leftChars="200" w:firstLine="643" w:firstLineChars="200"/>
        <w:jc w:val="center"/>
        <w:rPr>
          <w:rFonts w:hint="eastAsia" w:ascii="宋体" w:hAnsi="宋体" w:eastAsia="宋体" w:cs="宋体"/>
          <w:kern w:val="2"/>
          <w:sz w:val="32"/>
          <w:szCs w:val="32"/>
          <w:lang w:val="en-US" w:eastAsia="zh-CN" w:bidi="ar-SA"/>
        </w:rPr>
      </w:pPr>
      <w:r>
        <w:rPr>
          <w:rFonts w:hint="eastAsia" w:ascii="宋体" w:hAnsi="宋体" w:eastAsia="宋体" w:cs="宋体"/>
          <w:b/>
          <w:bCs/>
          <w:kern w:val="2"/>
          <w:sz w:val="32"/>
          <w:szCs w:val="32"/>
          <w:lang w:val="en-US" w:eastAsia="zh-CN" w:bidi="ar-SA"/>
        </w:rPr>
        <w:t>第三章 采购需求</w:t>
      </w:r>
    </w:p>
    <w:p>
      <w:pPr>
        <w:keepNext/>
        <w:keepLines/>
        <w:widowControl w:val="0"/>
        <w:numPr>
          <w:ilvl w:val="0"/>
          <w:numId w:val="0"/>
        </w:numPr>
        <w:tabs>
          <w:tab w:val="left" w:pos="432"/>
          <w:tab w:val="left" w:pos="720"/>
        </w:tabs>
        <w:suppressAutoHyphens w:val="0"/>
        <w:spacing w:before="240" w:line="360" w:lineRule="auto"/>
        <w:ind w:leftChars="0"/>
        <w:jc w:val="left"/>
        <w:outlineLvl w:val="2"/>
        <w:rPr>
          <w:rFonts w:ascii="宋体" w:hAnsi="宋体" w:eastAsia="宋体" w:cs="Times New Roman"/>
          <w:b/>
          <w:bCs/>
          <w:kern w:val="1"/>
          <w:sz w:val="24"/>
          <w:szCs w:val="24"/>
          <w:lang w:val="en-US" w:eastAsia="ar-SA" w:bidi="ar-SA"/>
        </w:rPr>
      </w:pPr>
      <w:bookmarkStart w:id="0" w:name="_Toc37918145"/>
      <w:bookmarkStart w:id="1" w:name="_Toc37059763"/>
      <w:bookmarkStart w:id="2" w:name="_Toc37059981"/>
      <w:bookmarkStart w:id="3" w:name="_Toc37059814"/>
      <w:bookmarkStart w:id="4" w:name="_Toc97226973"/>
      <w:r>
        <w:rPr>
          <w:rFonts w:hint="eastAsia" w:ascii="宋体" w:hAnsi="宋体" w:eastAsia="宋体" w:cs="Times New Roman"/>
          <w:b/>
          <w:bCs/>
          <w:kern w:val="1"/>
          <w:sz w:val="24"/>
          <w:szCs w:val="24"/>
          <w:lang w:val="en-US" w:eastAsia="zh-CN" w:bidi="ar-SA"/>
        </w:rPr>
        <w:t>一、项目</w:t>
      </w:r>
      <w:bookmarkEnd w:id="0"/>
      <w:bookmarkEnd w:id="1"/>
      <w:bookmarkEnd w:id="2"/>
      <w:bookmarkEnd w:id="3"/>
      <w:r>
        <w:rPr>
          <w:rFonts w:hint="eastAsia" w:ascii="宋体" w:hAnsi="宋体" w:eastAsia="宋体" w:cs="Times New Roman"/>
          <w:b/>
          <w:bCs/>
          <w:kern w:val="1"/>
          <w:sz w:val="24"/>
          <w:szCs w:val="24"/>
          <w:lang w:val="en-US" w:eastAsia="zh-CN" w:bidi="ar-SA"/>
        </w:rPr>
        <w:t>背景</w:t>
      </w:r>
      <w:bookmarkEnd w:id="4"/>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淮南市三和镇马厂</w:t>
      </w:r>
      <w:r>
        <w:rPr>
          <w:rFonts w:ascii="宋体" w:hAnsi="Times New Roman" w:eastAsia="宋体" w:cs="Times New Roman"/>
          <w:kern w:val="1"/>
          <w:sz w:val="24"/>
          <w:szCs w:val="24"/>
          <w:lang w:val="en-US" w:eastAsia="zh-CN" w:bidi="ar-SA"/>
        </w:rPr>
        <w:t>街道</w:t>
      </w:r>
      <w:r>
        <w:rPr>
          <w:rFonts w:hint="eastAsia" w:ascii="宋体" w:hAnsi="Times New Roman" w:eastAsia="宋体" w:cs="Times New Roman"/>
          <w:kern w:val="1"/>
          <w:sz w:val="24"/>
          <w:szCs w:val="24"/>
          <w:lang w:val="en-US" w:eastAsia="zh-CN" w:bidi="ar-SA"/>
        </w:rPr>
        <w:t>行政上隶属于安徽省淮南市田家庵区三和</w:t>
      </w:r>
      <w:r>
        <w:rPr>
          <w:rFonts w:ascii="宋体" w:hAnsi="Times New Roman" w:eastAsia="宋体" w:cs="Times New Roman"/>
          <w:kern w:val="1"/>
          <w:sz w:val="24"/>
          <w:szCs w:val="24"/>
          <w:lang w:val="en-US" w:eastAsia="zh-CN" w:bidi="ar-SA"/>
        </w:rPr>
        <w:t>镇</w:t>
      </w:r>
      <w:r>
        <w:rPr>
          <w:rFonts w:hint="eastAsia" w:ascii="宋体" w:hAnsi="Times New Roman" w:eastAsia="宋体" w:cs="Times New Roman"/>
          <w:kern w:val="1"/>
          <w:sz w:val="24"/>
          <w:szCs w:val="24"/>
          <w:lang w:val="en-US" w:eastAsia="zh-CN" w:bidi="ar-SA"/>
        </w:rPr>
        <w:t>，处于三和</w:t>
      </w:r>
      <w:r>
        <w:rPr>
          <w:rFonts w:ascii="宋体" w:hAnsi="Times New Roman" w:eastAsia="宋体" w:cs="Times New Roman"/>
          <w:kern w:val="1"/>
          <w:sz w:val="24"/>
          <w:szCs w:val="24"/>
          <w:lang w:val="en-US" w:eastAsia="zh-CN" w:bidi="ar-SA"/>
        </w:rPr>
        <w:t>镇的西南片区</w:t>
      </w:r>
      <w:r>
        <w:rPr>
          <w:rFonts w:hint="eastAsia" w:ascii="宋体" w:hAnsi="Times New Roman" w:eastAsia="宋体" w:cs="Times New Roman"/>
          <w:kern w:val="1"/>
          <w:sz w:val="24"/>
          <w:szCs w:val="24"/>
          <w:lang w:val="en-US" w:eastAsia="zh-CN" w:bidi="ar-SA"/>
        </w:rPr>
        <w:t>。</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马厂街道呈“两纵</w:t>
      </w:r>
      <w:r>
        <w:rPr>
          <w:rFonts w:ascii="宋体" w:hAnsi="Times New Roman" w:eastAsia="宋体" w:cs="Times New Roman"/>
          <w:kern w:val="1"/>
          <w:sz w:val="24"/>
          <w:szCs w:val="24"/>
          <w:lang w:val="en-US" w:eastAsia="zh-CN" w:bidi="ar-SA"/>
        </w:rPr>
        <w:t>两</w:t>
      </w:r>
      <w:r>
        <w:rPr>
          <w:rFonts w:hint="eastAsia" w:ascii="宋体" w:hAnsi="Times New Roman" w:eastAsia="宋体" w:cs="Times New Roman"/>
          <w:kern w:val="1"/>
          <w:sz w:val="24"/>
          <w:szCs w:val="24"/>
          <w:lang w:val="en-US" w:eastAsia="zh-CN" w:bidi="ar-SA"/>
        </w:rPr>
        <w:t>横”分布</w:t>
      </w:r>
      <w:r>
        <w:rPr>
          <w:rFonts w:ascii="宋体" w:hAnsi="Times New Roman" w:eastAsia="宋体" w:cs="Times New Roman"/>
          <w:kern w:val="1"/>
          <w:sz w:val="24"/>
          <w:szCs w:val="24"/>
          <w:lang w:val="en-US" w:eastAsia="zh-CN" w:bidi="ar-SA"/>
        </w:rPr>
        <w:t>，</w:t>
      </w:r>
      <w:r>
        <w:rPr>
          <w:rFonts w:hint="eastAsia" w:ascii="宋体" w:hAnsi="Times New Roman" w:eastAsia="宋体" w:cs="Times New Roman"/>
          <w:kern w:val="1"/>
          <w:sz w:val="24"/>
          <w:szCs w:val="24"/>
          <w:lang w:val="en-US" w:eastAsia="zh-CN" w:bidi="ar-SA"/>
        </w:rPr>
        <w:t>商户主要</w:t>
      </w:r>
      <w:r>
        <w:rPr>
          <w:rFonts w:ascii="宋体" w:hAnsi="Times New Roman" w:eastAsia="宋体" w:cs="Times New Roman"/>
          <w:kern w:val="1"/>
          <w:sz w:val="24"/>
          <w:szCs w:val="24"/>
          <w:lang w:val="en-US" w:eastAsia="zh-CN" w:bidi="ar-SA"/>
        </w:rPr>
        <w:t>集中在</w:t>
      </w:r>
      <w:r>
        <w:rPr>
          <w:rFonts w:hint="eastAsia" w:ascii="宋体" w:hAnsi="Times New Roman" w:eastAsia="宋体" w:cs="Times New Roman"/>
          <w:kern w:val="1"/>
          <w:sz w:val="24"/>
          <w:szCs w:val="24"/>
          <w:lang w:val="en-US" w:eastAsia="zh-CN" w:bidi="ar-SA"/>
        </w:rPr>
        <w:t>南北</w:t>
      </w:r>
      <w:r>
        <w:rPr>
          <w:rFonts w:ascii="宋体" w:hAnsi="Times New Roman" w:eastAsia="宋体" w:cs="Times New Roman"/>
          <w:kern w:val="1"/>
          <w:sz w:val="24"/>
          <w:szCs w:val="24"/>
          <w:lang w:val="en-US" w:eastAsia="zh-CN" w:bidi="ar-SA"/>
        </w:rPr>
        <w:t>走向的</w:t>
      </w:r>
      <w:r>
        <w:rPr>
          <w:rFonts w:hint="eastAsia" w:ascii="宋体" w:hAnsi="Times New Roman" w:eastAsia="宋体" w:cs="Times New Roman"/>
          <w:kern w:val="1"/>
          <w:sz w:val="24"/>
          <w:szCs w:val="24"/>
          <w:lang w:val="en-US" w:eastAsia="zh-CN" w:bidi="ar-SA"/>
        </w:rPr>
        <w:t>014县道和与其</w:t>
      </w:r>
      <w:r>
        <w:rPr>
          <w:rFonts w:ascii="宋体" w:hAnsi="Times New Roman" w:eastAsia="宋体" w:cs="Times New Roman"/>
          <w:kern w:val="1"/>
          <w:sz w:val="24"/>
          <w:szCs w:val="24"/>
          <w:lang w:val="en-US" w:eastAsia="zh-CN" w:bidi="ar-SA"/>
        </w:rPr>
        <w:t>相邻的村道</w:t>
      </w:r>
      <w:r>
        <w:rPr>
          <w:rFonts w:hint="eastAsia" w:ascii="宋体" w:hAnsi="Times New Roman" w:eastAsia="宋体" w:cs="Times New Roman"/>
          <w:kern w:val="1"/>
          <w:sz w:val="24"/>
          <w:szCs w:val="24"/>
          <w:lang w:val="en-US" w:eastAsia="zh-CN" w:bidi="ar-SA"/>
        </w:rPr>
        <w:t>上，呈“</w:t>
      </w:r>
      <w:r>
        <w:rPr>
          <w:rFonts w:ascii="宋体" w:hAnsi="Times New Roman" w:eastAsia="宋体" w:cs="Times New Roman"/>
          <w:kern w:val="1"/>
          <w:sz w:val="24"/>
          <w:szCs w:val="24"/>
          <w:lang w:val="en-US" w:eastAsia="zh-CN" w:bidi="ar-SA"/>
        </w:rPr>
        <w:t>两纵</w:t>
      </w:r>
      <w:r>
        <w:rPr>
          <w:rFonts w:hint="eastAsia" w:ascii="宋体" w:hAnsi="Times New Roman" w:eastAsia="宋体" w:cs="Times New Roman"/>
          <w:kern w:val="1"/>
          <w:sz w:val="24"/>
          <w:szCs w:val="24"/>
          <w:lang w:val="en-US" w:eastAsia="zh-CN" w:bidi="ar-SA"/>
        </w:rPr>
        <w:t>”形态</w:t>
      </w:r>
      <w:r>
        <w:rPr>
          <w:rFonts w:ascii="宋体" w:hAnsi="Times New Roman" w:eastAsia="宋体" w:cs="Times New Roman"/>
          <w:kern w:val="1"/>
          <w:sz w:val="24"/>
          <w:szCs w:val="24"/>
          <w:lang w:val="en-US" w:eastAsia="zh-CN" w:bidi="ar-SA"/>
        </w:rPr>
        <w:t>布局</w:t>
      </w:r>
      <w:r>
        <w:rPr>
          <w:rFonts w:hint="eastAsia" w:ascii="宋体" w:hAnsi="Times New Roman" w:eastAsia="宋体" w:cs="Times New Roman"/>
          <w:kern w:val="1"/>
          <w:sz w:val="24"/>
          <w:szCs w:val="24"/>
          <w:lang w:val="en-US" w:eastAsia="zh-CN" w:bidi="ar-SA"/>
        </w:rPr>
        <w:t>，</w:t>
      </w:r>
      <w:r>
        <w:rPr>
          <w:rFonts w:ascii="宋体" w:hAnsi="Times New Roman" w:eastAsia="宋体" w:cs="Times New Roman"/>
          <w:kern w:val="1"/>
          <w:sz w:val="24"/>
          <w:szCs w:val="24"/>
          <w:lang w:val="en-US" w:eastAsia="zh-CN" w:bidi="ar-SA"/>
        </w:rPr>
        <w:t>以及</w:t>
      </w:r>
      <w:r>
        <w:rPr>
          <w:rFonts w:hint="eastAsia" w:ascii="宋体" w:hAnsi="Times New Roman" w:eastAsia="宋体" w:cs="Times New Roman"/>
          <w:kern w:val="1"/>
          <w:sz w:val="24"/>
          <w:szCs w:val="24"/>
          <w:lang w:val="en-US" w:eastAsia="zh-CN" w:bidi="ar-SA"/>
        </w:rPr>
        <w:t>主街间</w:t>
      </w:r>
      <w:r>
        <w:rPr>
          <w:rFonts w:ascii="宋体" w:hAnsi="Times New Roman" w:eastAsia="宋体" w:cs="Times New Roman"/>
          <w:kern w:val="1"/>
          <w:sz w:val="24"/>
          <w:szCs w:val="24"/>
          <w:lang w:val="en-US" w:eastAsia="zh-CN" w:bidi="ar-SA"/>
        </w:rPr>
        <w:t>连接的东西走向的小</w:t>
      </w:r>
      <w:r>
        <w:rPr>
          <w:rFonts w:hint="eastAsia" w:ascii="宋体" w:hAnsi="Times New Roman" w:eastAsia="宋体" w:cs="Times New Roman"/>
          <w:kern w:val="1"/>
          <w:sz w:val="24"/>
          <w:szCs w:val="24"/>
          <w:lang w:val="en-US" w:eastAsia="zh-CN" w:bidi="ar-SA"/>
        </w:rPr>
        <w:t>街，</w:t>
      </w:r>
      <w:r>
        <w:rPr>
          <w:rFonts w:ascii="宋体" w:hAnsi="Times New Roman" w:eastAsia="宋体" w:cs="Times New Roman"/>
          <w:kern w:val="1"/>
          <w:sz w:val="24"/>
          <w:szCs w:val="24"/>
          <w:lang w:val="en-US" w:eastAsia="zh-CN" w:bidi="ar-SA"/>
        </w:rPr>
        <w:t>呈</w:t>
      </w:r>
      <w:r>
        <w:rPr>
          <w:rFonts w:hint="eastAsia" w:ascii="宋体" w:hAnsi="Times New Roman" w:eastAsia="宋体" w:cs="Times New Roman"/>
          <w:kern w:val="1"/>
          <w:sz w:val="24"/>
          <w:szCs w:val="24"/>
          <w:lang w:val="en-US" w:eastAsia="zh-CN" w:bidi="ar-SA"/>
        </w:rPr>
        <w:t>“两</w:t>
      </w:r>
      <w:r>
        <w:rPr>
          <w:rFonts w:ascii="宋体" w:hAnsi="Times New Roman" w:eastAsia="宋体" w:cs="Times New Roman"/>
          <w:kern w:val="1"/>
          <w:sz w:val="24"/>
          <w:szCs w:val="24"/>
          <w:lang w:val="en-US" w:eastAsia="zh-CN" w:bidi="ar-SA"/>
        </w:rPr>
        <w:t>横</w:t>
      </w:r>
      <w:r>
        <w:rPr>
          <w:rFonts w:hint="eastAsia" w:ascii="宋体" w:hAnsi="Times New Roman" w:eastAsia="宋体" w:cs="Times New Roman"/>
          <w:kern w:val="1"/>
          <w:sz w:val="24"/>
          <w:szCs w:val="24"/>
          <w:lang w:val="en-US" w:eastAsia="zh-CN" w:bidi="ar-SA"/>
        </w:rPr>
        <w:t>”形态</w:t>
      </w:r>
      <w:r>
        <w:rPr>
          <w:rFonts w:ascii="宋体" w:hAnsi="Times New Roman" w:eastAsia="宋体" w:cs="Times New Roman"/>
          <w:kern w:val="1"/>
          <w:sz w:val="24"/>
          <w:szCs w:val="24"/>
          <w:lang w:val="en-US" w:eastAsia="zh-CN" w:bidi="ar-SA"/>
        </w:rPr>
        <w:t>布局</w:t>
      </w:r>
      <w:r>
        <w:rPr>
          <w:rFonts w:hint="eastAsia" w:ascii="宋体" w:hAnsi="Times New Roman" w:eastAsia="宋体" w:cs="Times New Roman"/>
          <w:kern w:val="1"/>
          <w:sz w:val="24"/>
          <w:szCs w:val="24"/>
          <w:lang w:val="en-US" w:eastAsia="zh-CN" w:bidi="ar-SA"/>
        </w:rPr>
        <w:t>。路两侧主要为“九小场所”（九小场所指是指达不到《消防安全重点单位界定标准》，但又具有一定规模的餐饮、购物、公共娱乐、休闲健身、医疗、教学、生产加工、易燃易爆危险品销售储存等场所），属于火灾事故易发频发区域。</w:t>
      </w:r>
    </w:p>
    <w:p>
      <w:pPr>
        <w:widowControl w:val="0"/>
        <w:suppressAutoHyphens/>
        <w:snapToGrid w:val="0"/>
        <w:spacing w:after="0" w:line="360" w:lineRule="auto"/>
        <w:ind w:left="0" w:leftChars="0" w:firstLine="0" w:firstLineChars="0"/>
        <w:jc w:val="center"/>
        <w:rPr>
          <w:rFonts w:ascii="宋体" w:hAnsi="Times New Roman" w:eastAsia="宋体" w:cs="Times New Roman"/>
          <w:kern w:val="1"/>
          <w:sz w:val="24"/>
          <w:szCs w:val="24"/>
          <w:lang w:val="en-US" w:eastAsia="zh-CN" w:bidi="ar-SA"/>
        </w:rPr>
      </w:pPr>
      <w:r>
        <w:rPr>
          <w:rFonts w:ascii="宋体" w:hAnsi="Times New Roman" w:eastAsia="宋体" w:cs="Times New Roman"/>
          <w:kern w:val="1"/>
          <w:sz w:val="24"/>
          <w:szCs w:val="24"/>
          <w:lang w:val="en-US" w:eastAsia="zh-CN" w:bidi="ar-SA"/>
        </w:rPr>
        <w:drawing>
          <wp:inline distT="0" distB="0" distL="114300" distR="114300">
            <wp:extent cx="5278120" cy="1990090"/>
            <wp:effectExtent l="0" t="0" r="17780" b="10160"/>
            <wp:docPr id="2" name="图片 2" descr="C:\Users\TeacherW\Desktop\QQ截图20220303092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TeacherW\Desktop\QQ截图20220303092417.jpg"/>
                    <pic:cNvPicPr>
                      <a:picLocks noChangeAspect="1"/>
                    </pic:cNvPicPr>
                  </pic:nvPicPr>
                  <pic:blipFill>
                    <a:blip r:embed="rId4"/>
                    <a:stretch>
                      <a:fillRect/>
                    </a:stretch>
                  </pic:blipFill>
                  <pic:spPr>
                    <a:xfrm>
                      <a:off x="0" y="0"/>
                      <a:ext cx="5278120" cy="1990090"/>
                    </a:xfrm>
                    <a:prstGeom prst="rect">
                      <a:avLst/>
                    </a:prstGeom>
                    <a:noFill/>
                    <a:ln>
                      <a:noFill/>
                    </a:ln>
                  </pic:spPr>
                </pic:pic>
              </a:graphicData>
            </a:graphic>
          </wp:inline>
        </w:drawing>
      </w:r>
    </w:p>
    <w:p>
      <w:pPr>
        <w:widowControl w:val="0"/>
        <w:suppressAutoHyphens/>
        <w:snapToGrid w:val="0"/>
        <w:spacing w:after="0" w:line="360" w:lineRule="auto"/>
        <w:ind w:left="0" w:leftChars="0" w:firstLine="0" w:firstLineChars="0"/>
        <w:jc w:val="center"/>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三和镇马厂街道示意图</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且随着社会的不断发展，马厂街道住户也越来越多，由原来的小集市发展成为</w:t>
      </w:r>
      <w:r>
        <w:rPr>
          <w:rFonts w:ascii="宋体" w:hAnsi="Times New Roman" w:eastAsia="宋体" w:cs="Times New Roman"/>
          <w:kern w:val="1"/>
          <w:sz w:val="24"/>
          <w:szCs w:val="24"/>
          <w:lang w:val="en-US" w:eastAsia="zh-CN" w:bidi="ar-SA"/>
        </w:rPr>
        <w:t>200</w:t>
      </w:r>
      <w:r>
        <w:rPr>
          <w:rFonts w:hint="eastAsia" w:ascii="宋体" w:hAnsi="Times New Roman" w:eastAsia="宋体" w:cs="Times New Roman"/>
          <w:kern w:val="1"/>
          <w:sz w:val="24"/>
          <w:szCs w:val="24"/>
          <w:lang w:val="en-US" w:eastAsia="zh-CN" w:bidi="ar-SA"/>
        </w:rPr>
        <w:t>多家店面的商业街，这些场所建筑情况复杂，消防设施缺失老化，且缺少有效的技防手段，存在诸多火灾隐患，加之人员消防安全意识淡薄，存在较大的消防安全隐患，给三和镇政府带来了管理难题。镇政府希望能够通过技防的手段辅助相关部门提升辖区的消防安全管理水平，降低消防安全隐患，保障街道人民的生命和财产安全。</w:t>
      </w:r>
      <w:r>
        <w:rPr>
          <w:rFonts w:ascii="宋体" w:hAnsi="Times New Roman" w:eastAsia="宋体" w:cs="Times New Roman"/>
          <w:kern w:val="1"/>
          <w:sz w:val="24"/>
          <w:szCs w:val="24"/>
          <w:lang w:val="en-US" w:eastAsia="zh-CN" w:bidi="ar-SA"/>
        </w:rPr>
        <w:t xml:space="preserve"> </w:t>
      </w:r>
    </w:p>
    <w:p>
      <w:pPr>
        <w:keepNext/>
        <w:keepLines/>
        <w:widowControl w:val="0"/>
        <w:numPr>
          <w:ilvl w:val="0"/>
          <w:numId w:val="0"/>
        </w:numPr>
        <w:tabs>
          <w:tab w:val="left" w:pos="432"/>
          <w:tab w:val="left" w:pos="720"/>
        </w:tabs>
        <w:suppressAutoHyphens w:val="0"/>
        <w:spacing w:before="240" w:line="360" w:lineRule="auto"/>
        <w:ind w:leftChars="0"/>
        <w:jc w:val="left"/>
        <w:outlineLvl w:val="2"/>
        <w:rPr>
          <w:rFonts w:ascii="宋体" w:hAnsi="宋体" w:eastAsia="宋体" w:cs="Times New Roman"/>
          <w:b/>
          <w:bCs/>
          <w:kern w:val="1"/>
          <w:sz w:val="24"/>
          <w:szCs w:val="24"/>
          <w:lang w:val="en-US" w:eastAsia="ar-SA" w:bidi="ar-SA"/>
        </w:rPr>
      </w:pPr>
      <w:bookmarkStart w:id="5" w:name="_Toc97226979"/>
      <w:r>
        <w:rPr>
          <w:rFonts w:hint="eastAsia" w:ascii="宋体" w:hAnsi="宋体" w:eastAsia="宋体" w:cs="Times New Roman"/>
          <w:b/>
          <w:bCs/>
          <w:kern w:val="1"/>
          <w:sz w:val="24"/>
          <w:szCs w:val="24"/>
          <w:lang w:val="en-US" w:eastAsia="zh-CN" w:bidi="ar-SA"/>
        </w:rPr>
        <w:t>二、建设内容</w:t>
      </w:r>
      <w:bookmarkEnd w:id="5"/>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马厂街道智慧消防建设内容主要集中在两个部分：基础设施建设、软件平台建设。本次拟建项目充分结合淮南市三和镇消防管理工作实际需要，通过全面的消防数据采集应用、安防系统的集成联动，对消防设施运行状态的进行实时在线监测，从而有效降低建筑消防安全隐患，提升街道商户消防安全管理水平。</w:t>
      </w:r>
    </w:p>
    <w:p>
      <w:pPr>
        <w:widowControl w:val="0"/>
        <w:numPr>
          <w:ilvl w:val="0"/>
          <w:numId w:val="2"/>
        </w:numPr>
        <w:suppressAutoHyphens/>
        <w:snapToGrid w:val="0"/>
        <w:spacing w:after="0" w:line="360" w:lineRule="auto"/>
        <w:ind w:left="900" w:leftChars="0" w:hanging="420" w:firstLineChars="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基础设施建设</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本次拟选取淮南市三和镇马厂街道商铺作为建设主体，通过在街道商铺加装独立烟感240个、可燃气体监测仪29套、用电安全监测仪210套等智能设备，实时远程监测整条街道所有商铺内消防设施的运行状态，做到设备</w:t>
      </w:r>
      <w:r>
        <w:rPr>
          <w:rFonts w:ascii="宋体" w:hAnsi="Times New Roman" w:eastAsia="宋体" w:cs="Times New Roman"/>
          <w:kern w:val="1"/>
          <w:sz w:val="24"/>
          <w:szCs w:val="24"/>
          <w:lang w:val="en-US" w:eastAsia="zh-CN" w:bidi="ar-SA"/>
        </w:rPr>
        <w:t>信息</w:t>
      </w:r>
      <w:r>
        <w:rPr>
          <w:rFonts w:hint="eastAsia" w:ascii="宋体" w:hAnsi="Times New Roman" w:eastAsia="宋体" w:cs="Times New Roman"/>
          <w:kern w:val="1"/>
          <w:sz w:val="24"/>
          <w:szCs w:val="24"/>
          <w:lang w:val="en-US" w:eastAsia="zh-CN" w:bidi="ar-SA"/>
        </w:rPr>
        <w:t>实时监测，隐患超前预知、火灾及时预警，快速提醒相关责任人，提高火灾防御效果，降低因火灾发生而造成的损失。</w:t>
      </w:r>
    </w:p>
    <w:p>
      <w:pPr>
        <w:widowControl w:val="0"/>
        <w:numPr>
          <w:ilvl w:val="0"/>
          <w:numId w:val="2"/>
        </w:numPr>
        <w:suppressAutoHyphens/>
        <w:snapToGrid w:val="0"/>
        <w:spacing w:after="0" w:line="360" w:lineRule="auto"/>
        <w:ind w:left="900" w:leftChars="0" w:hanging="420" w:firstLineChars="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软件平台建设</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利用物联网、云计算、大数据、三维GIS和人工智能等先进技术，打造</w:t>
      </w:r>
      <w:r>
        <w:rPr>
          <w:rFonts w:ascii="宋体" w:hAnsi="Times New Roman" w:eastAsia="宋体" w:cs="Times New Roman"/>
          <w:kern w:val="1"/>
          <w:sz w:val="24"/>
          <w:szCs w:val="24"/>
          <w:lang w:val="en-US" w:eastAsia="zh-CN" w:bidi="ar-SA"/>
        </w:rPr>
        <w:t>马厂街道智慧消防</w:t>
      </w:r>
      <w:r>
        <w:rPr>
          <w:rFonts w:hint="eastAsia" w:ascii="宋体" w:hAnsi="Times New Roman" w:eastAsia="宋体" w:cs="Times New Roman"/>
          <w:kern w:val="1"/>
          <w:sz w:val="24"/>
          <w:szCs w:val="24"/>
          <w:lang w:val="en-US" w:eastAsia="zh-CN" w:bidi="ar-SA"/>
        </w:rPr>
        <w:t>物联网监测预警平台。</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1、消防基础数据管理</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全面收集马厂</w:t>
      </w:r>
      <w:r>
        <w:rPr>
          <w:rFonts w:ascii="宋体" w:hAnsi="Times New Roman" w:eastAsia="宋体" w:cs="Times New Roman"/>
          <w:kern w:val="1"/>
          <w:sz w:val="24"/>
          <w:szCs w:val="24"/>
          <w:lang w:val="en-US" w:eastAsia="zh-CN" w:bidi="ar-SA"/>
        </w:rPr>
        <w:t>街道</w:t>
      </w:r>
      <w:r>
        <w:rPr>
          <w:rFonts w:hint="eastAsia" w:ascii="宋体" w:hAnsi="Times New Roman" w:eastAsia="宋体" w:cs="Times New Roman"/>
          <w:kern w:val="1"/>
          <w:sz w:val="24"/>
          <w:szCs w:val="24"/>
          <w:lang w:val="en-US" w:eastAsia="zh-CN" w:bidi="ar-SA"/>
        </w:rPr>
        <w:t>消防基础信息，建立单位消防电子档案，实现单位基础信息、建筑结构信息、应急疏散路线、应急物资储备、消防管理人员、消防基础设施等信息的数字化、线上化、可视化分类关联展示，全面实时掌握单位消防安全信息。</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2、消防设施监测预警</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通过物联网传感采集设备，构建涵盖消防电系统、水系统、暖通系统、电气火灾系统、安防系统的全局消防物联感知网络，基于三维GIS地理信息系统，一张图展现设备运行状况，同时移动端远程监测预警功能，多渠道分级上传故障、隐患、火警等信息，辅以安消</w:t>
      </w:r>
      <w:r>
        <w:rPr>
          <w:rFonts w:ascii="宋体" w:hAnsi="Times New Roman" w:eastAsia="宋体" w:cs="Times New Roman"/>
          <w:kern w:val="1"/>
          <w:sz w:val="24"/>
          <w:szCs w:val="24"/>
          <w:lang w:val="en-US" w:eastAsia="zh-CN" w:bidi="ar-SA"/>
        </w:rPr>
        <w:t>联动系统，</w:t>
      </w:r>
      <w:r>
        <w:rPr>
          <w:rFonts w:hint="eastAsia" w:ascii="宋体" w:hAnsi="Times New Roman" w:eastAsia="宋体" w:cs="Times New Roman"/>
          <w:kern w:val="1"/>
          <w:sz w:val="24"/>
          <w:szCs w:val="24"/>
          <w:lang w:val="en-US" w:eastAsia="zh-CN" w:bidi="ar-SA"/>
        </w:rPr>
        <w:t>真正实现运行状况实时监控，火灾隐患及时预警，火灾事故精准治理。</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3、消防管理工作履责监督</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对消防管理工作进行线上、线下同步结合，规范消防隐患处置流程、日常巡查巡检流程、维保处置流程，巡查维保计划、人员值守计划智能排班，人员在岗智能监督、巡查维保溯源追踪，有效提升消防安全管理服务质量。</w:t>
      </w:r>
    </w:p>
    <w:p>
      <w:pPr>
        <w:widowControl w:val="0"/>
        <w:suppressAutoHyphens/>
        <w:snapToGrid w:val="0"/>
        <w:spacing w:after="0" w:line="360" w:lineRule="auto"/>
        <w:ind w:left="0" w:leftChars="0" w:firstLine="480" w:firstLineChars="200"/>
        <w:jc w:val="both"/>
        <w:rPr>
          <w:rFonts w:ascii="宋体" w:hAnsi="Times New Roman" w:eastAsia="宋体" w:cs="Times New Roman"/>
          <w:kern w:val="1"/>
          <w:sz w:val="24"/>
          <w:szCs w:val="24"/>
          <w:lang w:val="en-US" w:eastAsia="zh-CN" w:bidi="ar-SA"/>
        </w:rPr>
      </w:pPr>
      <w:r>
        <w:rPr>
          <w:rFonts w:hint="eastAsia" w:ascii="宋体" w:hAnsi="Times New Roman" w:eastAsia="宋体" w:cs="Times New Roman"/>
          <w:kern w:val="1"/>
          <w:sz w:val="24"/>
          <w:szCs w:val="24"/>
          <w:lang w:val="en-US" w:eastAsia="zh-CN" w:bidi="ar-SA"/>
        </w:rPr>
        <w:t>4、消防数据分析辅助决策功能</w:t>
      </w:r>
    </w:p>
    <w:p>
      <w:pPr>
        <w:suppressAutoHyphens/>
        <w:spacing w:afterAutospacing="0" w:line="360" w:lineRule="auto"/>
        <w:ind w:firstLine="480" w:firstLineChars="200"/>
        <w:jc w:val="left"/>
        <w:outlineLvl w:val="0"/>
        <w:rPr>
          <w:rFonts w:hint="eastAsia" w:ascii="宋体" w:hAnsi="宋体" w:eastAsia="宋体" w:cs="宋体"/>
          <w:b/>
          <w:bCs/>
          <w:kern w:val="2"/>
          <w:sz w:val="24"/>
          <w:szCs w:val="24"/>
          <w:lang w:val="en-US" w:eastAsia="zh-CN"/>
        </w:rPr>
      </w:pPr>
      <w:r>
        <w:rPr>
          <w:rFonts w:hint="eastAsia" w:ascii="宋体" w:hAnsi="Times New Roman" w:eastAsia="宋体" w:cs="Times New Roman"/>
          <w:kern w:val="1"/>
          <w:sz w:val="24"/>
          <w:szCs w:val="24"/>
          <w:lang w:val="en-US" w:eastAsia="zh-CN" w:bidi="ar-SA"/>
        </w:rPr>
        <w:t>构建消防安全评估模型，通过信息处理、数据挖掘和态势分析，综合评判整体消防安全状况，系统性直观展示建筑消防安全现状，自动生成消防安全管理周报、月报、年报，为防火监督管理和灭火救援提供数据支撑。</w:t>
      </w:r>
    </w:p>
    <w:p>
      <w:pPr>
        <w:suppressAutoHyphens/>
        <w:spacing w:afterAutospacing="0" w:line="360" w:lineRule="auto"/>
        <w:jc w:val="left"/>
        <w:outlineLvl w:val="0"/>
        <w:rPr>
          <w:rFonts w:hint="eastAsia" w:ascii="宋体" w:hAnsi="宋体" w:eastAsia="宋体" w:cs="宋体"/>
          <w:b/>
          <w:bCs/>
          <w:kern w:val="2"/>
          <w:sz w:val="24"/>
          <w:szCs w:val="24"/>
          <w:lang w:val="en-US" w:eastAsia="zh-CN"/>
        </w:rPr>
      </w:pPr>
    </w:p>
    <w:p>
      <w:pPr>
        <w:suppressAutoHyphens/>
        <w:spacing w:afterAutospacing="0" w:line="360" w:lineRule="auto"/>
        <w:jc w:val="left"/>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三</w:t>
      </w:r>
      <w:r>
        <w:rPr>
          <w:rFonts w:hint="eastAsia" w:ascii="宋体" w:hAnsi="宋体" w:eastAsia="宋体" w:cs="Times New Roman"/>
          <w:b/>
          <w:bCs/>
          <w:kern w:val="1"/>
          <w:sz w:val="24"/>
          <w:szCs w:val="24"/>
          <w:lang w:val="en-US" w:eastAsia="zh-CN" w:bidi="ar-SA"/>
        </w:rPr>
        <w:t>、采购内容</w:t>
      </w:r>
    </w:p>
    <w:p>
      <w:pPr>
        <w:suppressAutoHyphens/>
        <w:spacing w:afterAutospacing="0" w:line="360" w:lineRule="auto"/>
        <w:ind w:firstLine="480" w:firstLineChars="200"/>
        <w:jc w:val="left"/>
        <w:outlineLvl w:val="0"/>
        <w:rPr>
          <w:rFonts w:hint="eastAsia" w:ascii="宋体" w:hAnsi="宋体" w:eastAsia="宋体" w:cs="宋体"/>
          <w:b/>
          <w:bCs/>
          <w:kern w:val="2"/>
          <w:sz w:val="32"/>
          <w:szCs w:val="32"/>
          <w:lang w:val="en-US" w:eastAsia="zh-CN"/>
        </w:rPr>
      </w:pPr>
      <w:r>
        <w:rPr>
          <w:rFonts w:hint="eastAsia" w:ascii="宋体" w:hAnsi="宋体" w:eastAsia="宋体" w:cs="宋体"/>
          <w:b w:val="0"/>
          <w:bCs w:val="0"/>
          <w:kern w:val="2"/>
          <w:sz w:val="24"/>
          <w:szCs w:val="24"/>
          <w:lang w:val="en-US" w:eastAsia="zh-CN"/>
        </w:rPr>
        <w:t>本项目采购内容分为三部分：分别是智慧消防硬件设备安装、智慧消防系统平台升级、网络通讯服务。具体内容如下：</w:t>
      </w:r>
    </w:p>
    <w:p>
      <w:pPr>
        <w:suppressAutoHyphens/>
        <w:spacing w:afterAutospacing="0" w:line="360" w:lineRule="auto"/>
        <w:jc w:val="both"/>
        <w:outlineLvl w:val="0"/>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1、智慧消防硬件设备安装</w:t>
      </w:r>
    </w:p>
    <w:tbl>
      <w:tblPr>
        <w:tblStyle w:val="10"/>
        <w:tblW w:w="1031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4"/>
        <w:gridCol w:w="1304"/>
        <w:gridCol w:w="1134"/>
        <w:gridCol w:w="4535"/>
        <w:gridCol w:w="850"/>
        <w:gridCol w:w="850"/>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794" w:type="dxa"/>
            <w:tcBorders>
              <w:tl2br w:val="nil"/>
              <w:tr2bl w:val="nil"/>
            </w:tcBorders>
            <w:noWrap/>
            <w:vAlign w:val="center"/>
          </w:tcPr>
          <w:p>
            <w:pPr>
              <w:suppressAutoHyphens/>
              <w:spacing w:beforeAutospacing="0"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序号</w:t>
            </w:r>
          </w:p>
        </w:tc>
        <w:tc>
          <w:tcPr>
            <w:tcW w:w="1304"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监测系统</w:t>
            </w:r>
          </w:p>
        </w:tc>
        <w:tc>
          <w:tcPr>
            <w:tcW w:w="1134"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子项</w:t>
            </w:r>
          </w:p>
        </w:tc>
        <w:tc>
          <w:tcPr>
            <w:tcW w:w="4535"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硬件设备详情</w:t>
            </w:r>
          </w:p>
        </w:tc>
        <w:tc>
          <w:tcPr>
            <w:tcW w:w="850"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数量</w:t>
            </w:r>
          </w:p>
        </w:tc>
        <w:tc>
          <w:tcPr>
            <w:tcW w:w="850"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单位</w:t>
            </w:r>
          </w:p>
        </w:tc>
        <w:tc>
          <w:tcPr>
            <w:tcW w:w="850" w:type="dxa"/>
            <w:tcBorders>
              <w:tl2br w:val="nil"/>
              <w:tr2bl w:val="nil"/>
            </w:tcBorders>
            <w:noWrap/>
            <w:vAlign w:val="center"/>
          </w:tcPr>
          <w:p>
            <w:pPr>
              <w:suppressAutoHyphens/>
              <w:spacing w:afterAutospacing="0" w:line="360" w:lineRule="auto"/>
              <w:jc w:val="center"/>
              <w:outlineLvl w:val="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0" w:hRule="atLeast"/>
          <w:jc w:val="center"/>
        </w:trPr>
        <w:tc>
          <w:tcPr>
            <w:tcW w:w="794" w:type="dxa"/>
            <w:vMerge w:val="restart"/>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w:t>
            </w:r>
          </w:p>
        </w:tc>
        <w:tc>
          <w:tcPr>
            <w:tcW w:w="1304" w:type="dxa"/>
            <w:vMerge w:val="restart"/>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自动火灾报警主机系统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安装用传装置安装</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【用户信息传输装置】</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产品认证：CCCF认证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 采用高性能4G无线模块，支持移动、联通或电信网络制式；</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（2） 2 路 RS-232 通讯接口、 2 路 RS-485 通讯接口，1 路 CAN 通讯接口、 1 路 RJ45 网络通讯口,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（3） 手动报警：具有手动火警按钮，可以向管理平台上传人工火灾报警信息 ；</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（4） 断网续传：网络断网恢复后，接续上传断网期间的数据；</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（5） 值班查岗：支持值班查岗功能；</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（6） 1路开关量输入，2路常开输出</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（7） 1 个以太网接口，能够对目标 IP，目标机号，本机机号设置；</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（8） 支持查找历史记录：历史火警、历史请求/反馈、历史故障、历史操作各 1000 条。</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（9） 提供液晶显示（128x64），提供实时时钟；</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（10） 蓄电池备用供电（待机 24 小时以上）</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（11） 交流输入电压 220V 50Hz</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（12） 直流备电 12V 7Ah 铅酸电池一节</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（13） 工作温度 0℃～+50℃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（14） 工作湿度 ≤95%RH</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 w:hRule="atLeast"/>
          <w:jc w:val="center"/>
        </w:trPr>
        <w:tc>
          <w:tcPr>
            <w:tcW w:w="794" w:type="dxa"/>
            <w:vMerge w:val="continue"/>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c>
          <w:tcPr>
            <w:tcW w:w="1304" w:type="dxa"/>
            <w:vMerge w:val="continue"/>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安装数据转换模块</w:t>
            </w:r>
          </w:p>
        </w:tc>
        <w:tc>
          <w:tcPr>
            <w:tcW w:w="4535" w:type="dxa"/>
            <w:tcBorders>
              <w:tl2br w:val="nil"/>
              <w:tr2bl w:val="nil"/>
            </w:tcBorders>
            <w:noWrap w:val="0"/>
            <w:vAlign w:val="center"/>
          </w:tcPr>
          <w:p>
            <w:pPr>
              <w:keepNext w:val="0"/>
              <w:keepLines w:val="0"/>
              <w:pageBreakBefore w:val="0"/>
              <w:widowControl w:val="0"/>
              <w:suppressAutoHyphens/>
              <w:kinsoku/>
              <w:wordWrap/>
              <w:overflowPunct/>
              <w:topLinePunct w:val="0"/>
              <w:autoSpaceDE/>
              <w:autoSpaceDN/>
              <w:bidi w:val="0"/>
              <w:adjustRightInd/>
              <w:snapToGrid/>
              <w:spacing w:afterAutospacing="0" w:line="360" w:lineRule="auto"/>
              <w:jc w:val="left"/>
              <w:textAlignment w:val="auto"/>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【数据转换模块】</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通讯方式 RS-485通信和RS-232通信</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接口 并行26pin接口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 -10 ~ 55 ℃</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工作湿度 5% ~ 95% RH（无凝露）</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供电电压 DC 12 V或DC 24 V</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 ≥IP30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53" w:hRule="atLeast"/>
          <w:jc w:val="center"/>
        </w:trPr>
        <w:tc>
          <w:tcPr>
            <w:tcW w:w="794" w:type="dxa"/>
            <w:vMerge w:val="restart"/>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w:t>
            </w:r>
          </w:p>
        </w:tc>
        <w:tc>
          <w:tcPr>
            <w:tcW w:w="1304" w:type="dxa"/>
            <w:vMerge w:val="restart"/>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消防水系统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安装水池液位监测仪</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【智慧用水采集终端（液位）】</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通讯方式：NB通讯</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电池：可正常工作3年</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接口：至少两路传感器接口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工作温度：-30~70℃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工作湿度：5%~95%RH（无凝露）</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防护等级：≥IP65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安装方式：壁挂式</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量程：0~5m</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输出信号类型：0.5-2.5VDC</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功耗：≤1.2mA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响应时间：≤6mS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设备供电： 3.1-3.6VDC</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测量精度：±0.5%FS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补偿温度：0~60℃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介质温度：0~60℃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温度漂移：0.3%FS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零点漂移：0.2%/年</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工作温度：-30~85℃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过载压力：≥300%FS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爆破压力：≥600%FS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防护等级：≥IP68</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7" w:hRule="atLeast"/>
          <w:jc w:val="center"/>
        </w:trPr>
        <w:tc>
          <w:tcPr>
            <w:tcW w:w="794" w:type="dxa"/>
            <w:vMerge w:val="continue"/>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c>
          <w:tcPr>
            <w:tcW w:w="1304" w:type="dxa"/>
            <w:vMerge w:val="continue"/>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安装管网压力监测仪</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【智慧用水采集终端（压力）】</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通讯方式：NB通讯</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电池：可正常工作3年</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接口：至少两路传感器接口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工作温度：-30~70℃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工作湿度：5%~95%RH（无凝露）</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防护等级：≥IP65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安装方式：壁挂式</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测量范围：0~1.6MPa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输出信号类型：0.5-2.5VDC</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功耗：≤1.2mA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响应时间：≤6mS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设备供电： 3.1-3.6VDC</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测量精度：±0.5%FS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补偿温度：-10~70℃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介质温度：0~70℃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温度漂移：0.3%FS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零点漂移：0.2%/年</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环境温度：-30~85℃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工作温度：-30~85℃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过载压力：≥200%FS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爆破压力：≥500%FS</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防护等级：≥IP65</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0" w:hRule="atLeast"/>
          <w:jc w:val="center"/>
        </w:trPr>
        <w:tc>
          <w:tcPr>
            <w:tcW w:w="79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w:t>
            </w:r>
          </w:p>
        </w:tc>
        <w:tc>
          <w:tcPr>
            <w:tcW w:w="130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电气火灾监测系统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安装电气安全预警终端</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【组合式电气火灾探测器】</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监控报警项目 剩余电流、相线温度、环境温度、故障电弧、相电压、相电流、脱扣联动、故障联动、报警联动、联动输入报警</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计量相关监测 过压报警、欠压报警、过流报警、有功功率、无功功率、视在功率、功率因素、有功电能、箱体湿度检测</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通讯方式 以太网/NB-IoT</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外接端口 3路 相电压</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3路 相电流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零线电流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故障电弧</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5路 温度探测</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剩余电流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RS485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百兆网口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联动输入</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3路 联动输出</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1路 DC12V输出（带负载短路保护）</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状态指示灯 报警、故障、消音、网络、运行</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功耗 ≤12W(单机工作)</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报警声压 ≥70dB(A),1m</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采集误差 剩余电流：0~1000mA 误差&lt;5%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电 流：0~1000A 误差&lt;1%</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电 压：0~500V 误差&lt;1%</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温 度：0~150℃ 误差&lt;5%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 ≥IP30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工作电压 AC 220V 50Hz</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 工作温度：‘-20~60℃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工作湿度 工作湿度：≤95%RH（无凝露）</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产品执行标准 GB 14287.2-2014、GB 14287.3-2014、GB 14287.4-2014</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安装方式 导轨式安装</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【剩余电流互感器（开口式、铜排式）250A】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检测对象：剩余电流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额定输入：0-1A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额定输出：0-0.5mA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精度等级：0.5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工作温度：-25℃～+75℃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工作湿度：≤85%RH</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输出连接：端子或屏蔽双绞线</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安装方式：螺丝固定</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【过线电流互感器 200A】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额定频率 50/60 Hz</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 -20℃~70℃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相对湿度 ≤90%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额定一次电流 0-200A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额定二次电流 0-40mA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额定负荷b R 20Ω</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准确级 0.5</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交流耐压</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一次绕组与二次绕组间工频电压3.0KV/min，无击穿、</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飞弧现象，漏电流＜1mA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绝缘电阻 一次绕组与二次绕组之间≥100MΩ/500Vdc</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【温度传感器】</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探测器种类：NTC热敏电阻</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测量范围：-40℃～150℃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精度：1%</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工作温度：-50℃～260℃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210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0" w:hRule="atLeast"/>
          <w:jc w:val="center"/>
        </w:trPr>
        <w:tc>
          <w:tcPr>
            <w:tcW w:w="79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w:t>
            </w:r>
          </w:p>
        </w:tc>
        <w:tc>
          <w:tcPr>
            <w:tcW w:w="130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智能巡检系统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安装巡检标签</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【NFC消防巡检卡】</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通讯协议：ISO14443A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芯片型号：NTAG216</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通信频率：14.6Mhz</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通信距离：4.5-5cm</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芯片容量：≥888字节</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可擦写次数：10万次</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使用温度：-10~50℃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240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0" w:hRule="atLeast"/>
          <w:jc w:val="center"/>
        </w:trPr>
        <w:tc>
          <w:tcPr>
            <w:tcW w:w="79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5</w:t>
            </w:r>
          </w:p>
        </w:tc>
        <w:tc>
          <w:tcPr>
            <w:tcW w:w="130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独立烟感探测系统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安装独立烟感探测器</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【独立式光电感烟火灾探测报警器(NB-IoT)】</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产品认证：CCCF强制认证</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通讯模块：NB-Iot通讯</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工作原理：光电式、热敏元件感温</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工作电压：DC3.0V（锂电池）</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工作电流：静态电流≤13μA，报警电流≤150mA</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感温报警：定温57℃，差温约8℃/min</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报警方式：声光报警</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报警音量：≥85dB@3m（A计权）</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报警分类：火灾报警、低压报警、故障报警、防拆报警</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其他功能：自检按键、本地/远程消音、信号查询</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电池寿命：3年（根据实际使用情况而定）</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使用环境：温度：-10℃～55℃， 相对湿度：≤95% （无凝露）</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安装方式：螺钉固定/背胶固定</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执行标准：GB20517-2006</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240</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9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6</w:t>
            </w:r>
          </w:p>
        </w:tc>
        <w:tc>
          <w:tcPr>
            <w:tcW w:w="130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独立可燃探测系统</w:t>
            </w:r>
          </w:p>
        </w:tc>
        <w:tc>
          <w:tcPr>
            <w:tcW w:w="1134"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安装可燃气体探测器</w:t>
            </w:r>
          </w:p>
        </w:tc>
        <w:tc>
          <w:tcPr>
            <w:tcW w:w="4535" w:type="dxa"/>
            <w:tcBorders>
              <w:tl2br w:val="nil"/>
              <w:tr2bl w:val="nil"/>
            </w:tcBorders>
            <w:noWrap w:val="0"/>
            <w:vAlign w:val="center"/>
          </w:tcPr>
          <w:p>
            <w:pPr>
              <w:suppressAutoHyphens/>
              <w:spacing w:afterAutospacing="0" w:line="360" w:lineRule="auto"/>
              <w:jc w:val="left"/>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测气体种类：一氧化碳</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报警阈值：200*10-6(体积分数)</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输出信号：1路排风扇输出接口，1路485接口</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工作原理：电化学式</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供电电压：AC 220 V</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防护等级：≥IP 30</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通讯方式：NB</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使用环境：温度：-10 ℃～55 ℃；湿度：≤93%（40 ℃、无凝结）</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执行标准：GB 15322.2-2019</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报警音量：70 dB ~ 115 dB @1m (A计权)</w:t>
            </w:r>
            <w:r>
              <w:rPr>
                <w:rFonts w:hint="eastAsia" w:ascii="宋体" w:hAnsi="宋体" w:eastAsia="宋体" w:cs="宋体"/>
                <w:b w:val="0"/>
                <w:bCs w:val="0"/>
                <w:color w:val="auto"/>
                <w:kern w:val="2"/>
                <w:sz w:val="21"/>
                <w:szCs w:val="21"/>
                <w:highlight w:val="none"/>
                <w:lang w:val="en-US" w:eastAsia="zh-CN"/>
              </w:rPr>
              <w:br w:type="textWrapping"/>
            </w:r>
            <w:r>
              <w:rPr>
                <w:rFonts w:hint="eastAsia" w:ascii="宋体" w:hAnsi="宋体" w:eastAsia="宋体" w:cs="宋体"/>
                <w:b w:val="0"/>
                <w:bCs w:val="0"/>
                <w:color w:val="auto"/>
                <w:kern w:val="2"/>
                <w:sz w:val="21"/>
                <w:szCs w:val="21"/>
                <w:highlight w:val="none"/>
                <w:lang w:val="en-US" w:eastAsia="zh-CN"/>
              </w:rPr>
              <w:t>工作电流：≤250 mA</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29</w:t>
            </w:r>
          </w:p>
        </w:tc>
        <w:tc>
          <w:tcPr>
            <w:tcW w:w="850" w:type="dxa"/>
            <w:tcBorders>
              <w:tl2br w:val="nil"/>
              <w:tr2bl w:val="nil"/>
            </w:tcBorders>
            <w:noWrap w:val="0"/>
            <w:vAlign w:val="center"/>
          </w:tcPr>
          <w:p>
            <w:pPr>
              <w:suppressAutoHyphens/>
              <w:spacing w:afterAutospacing="0" w:line="360" w:lineRule="auto"/>
              <w:jc w:val="center"/>
              <w:outlineLvl w:val="0"/>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项</w:t>
            </w:r>
          </w:p>
        </w:tc>
        <w:tc>
          <w:tcPr>
            <w:tcW w:w="850" w:type="dxa"/>
            <w:tcBorders>
              <w:tl2br w:val="nil"/>
              <w:tr2bl w:val="nil"/>
            </w:tcBorders>
            <w:noWrap w:val="0"/>
            <w:vAlign w:val="center"/>
          </w:tcPr>
          <w:p>
            <w:pPr>
              <w:suppressAutoHyphens/>
              <w:spacing w:after="120" w:afterLines="50" w:line="360" w:lineRule="auto"/>
              <w:jc w:val="center"/>
              <w:outlineLvl w:val="0"/>
              <w:rPr>
                <w:rFonts w:hint="eastAsia" w:ascii="宋体" w:hAnsi="宋体" w:eastAsia="宋体" w:cs="宋体"/>
                <w:b w:val="0"/>
                <w:bCs w:val="0"/>
                <w:color w:val="auto"/>
                <w:kern w:val="2"/>
                <w:sz w:val="21"/>
                <w:szCs w:val="21"/>
                <w:highlight w:val="none"/>
                <w:lang w:val="en-US" w:eastAsia="zh-CN"/>
              </w:rPr>
            </w:pPr>
          </w:p>
        </w:tc>
      </w:tr>
    </w:tbl>
    <w:p>
      <w:pPr>
        <w:suppressAutoHyphens/>
        <w:spacing w:afterAutospacing="0" w:line="360" w:lineRule="auto"/>
        <w:jc w:val="both"/>
        <w:outlineLvl w:val="0"/>
        <w:rPr>
          <w:rFonts w:hint="eastAsia" w:ascii="宋体" w:hAnsi="宋体" w:eastAsia="宋体" w:cs="宋体"/>
          <w:b/>
          <w:bCs/>
          <w:kern w:val="2"/>
          <w:sz w:val="32"/>
          <w:szCs w:val="32"/>
          <w:lang w:val="en-US" w:eastAsia="zh-CN"/>
        </w:rPr>
      </w:pPr>
      <w:r>
        <w:rPr>
          <w:rFonts w:hint="eastAsia" w:ascii="宋体" w:hAnsi="宋体" w:eastAsia="宋体" w:cs="宋体"/>
          <w:b/>
          <w:bCs/>
          <w:kern w:val="2"/>
          <w:sz w:val="24"/>
          <w:szCs w:val="24"/>
          <w:lang w:val="en-US" w:eastAsia="zh-CN"/>
        </w:rPr>
        <w:t>2、智慧消防系统平台升级</w:t>
      </w:r>
    </w:p>
    <w:tbl>
      <w:tblPr>
        <w:tblStyle w:val="10"/>
        <w:tblW w:w="9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282"/>
        <w:gridCol w:w="1393"/>
        <w:gridCol w:w="3903"/>
        <w:gridCol w:w="836"/>
        <w:gridCol w:w="836"/>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uppressAutoHyphens/>
              <w:spacing w:beforeAutospacing="0"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序号</w:t>
            </w:r>
          </w:p>
        </w:tc>
        <w:tc>
          <w:tcPr>
            <w:tcW w:w="128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平台服务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系统功能</w:t>
            </w:r>
          </w:p>
        </w:tc>
        <w:tc>
          <w:tcPr>
            <w:tcW w:w="3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描述</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数量</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restart"/>
            <w:tcBorders>
              <w:top w:val="single" w:color="000000" w:sz="4" w:space="0"/>
              <w:left w:val="single" w:color="000000" w:sz="8"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1282" w:type="dxa"/>
            <w:vMerge w:val="restart"/>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新增</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建筑二维电子示意图纸及点位标注联动</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200家商铺+中学+小学</w:t>
            </w:r>
            <w:bookmarkStart w:id="6" w:name="_GoBack"/>
            <w:bookmarkEnd w:id="6"/>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项</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室外三维GIS</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200家商铺+中学+小学</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项</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界面定制</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镇政府、社会单位监管业务应用软件改造</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项</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restart"/>
            <w:tcBorders>
              <w:top w:val="single" w:color="000000" w:sz="4" w:space="0"/>
              <w:left w:val="single" w:color="000000" w:sz="8"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w:t>
            </w:r>
          </w:p>
        </w:tc>
        <w:tc>
          <w:tcPr>
            <w:tcW w:w="1282" w:type="dxa"/>
            <w:vMerge w:val="restart"/>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原系统复用数据对接</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基础平台</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1、消防设施远程监测预警系统；</w:t>
            </w:r>
          </w:p>
        </w:tc>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vMerge w:val="restart"/>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套</w:t>
            </w:r>
          </w:p>
        </w:tc>
        <w:tc>
          <w:tcPr>
            <w:tcW w:w="964" w:type="dxa"/>
            <w:vMerge w:val="restart"/>
            <w:tcBorders>
              <w:top w:val="single" w:color="000000" w:sz="4" w:space="0"/>
              <w:left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注：延用三和镇智慧消防平台底层软件资源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2、告警处置管理系统；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3、智能识别分析系统；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4、智能巡查系统；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5、消防信息管理系统；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6、消防培训系统；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7、大数据分析应用系统；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8、移动端应用系统；</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restart"/>
            <w:tcBorders>
              <w:top w:val="single" w:color="000000" w:sz="4" w:space="0"/>
              <w:left w:val="single" w:color="000000" w:sz="8"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3</w:t>
            </w:r>
          </w:p>
        </w:tc>
        <w:tc>
          <w:tcPr>
            <w:tcW w:w="1282" w:type="dxa"/>
            <w:vMerge w:val="restart"/>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云计算资源</w:t>
            </w:r>
          </w:p>
        </w:tc>
        <w:tc>
          <w:tcPr>
            <w:tcW w:w="1393" w:type="dxa"/>
            <w:vMerge w:val="restart"/>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云主机</w:t>
            </w: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CPU内存：8核16G</w:t>
            </w:r>
          </w:p>
        </w:tc>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vMerge w:val="restart"/>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台/年</w:t>
            </w:r>
          </w:p>
        </w:tc>
        <w:tc>
          <w:tcPr>
            <w:tcW w:w="964" w:type="dxa"/>
            <w:vMerge w:val="restart"/>
            <w:tcBorders>
              <w:top w:val="single" w:color="000000" w:sz="4" w:space="0"/>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20M带宽</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vMerge w:val="continue"/>
            <w:tcBorders>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282" w:type="dxa"/>
            <w:vMerge w:val="continue"/>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1393"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4" w:space="0"/>
              <w:left w:val="single" w:color="000000" w:sz="4" w:space="0"/>
              <w:bottom w:val="nil"/>
              <w:right w:val="single" w:color="000000" w:sz="4" w:space="0"/>
            </w:tcBorders>
            <w:noWrap w:val="0"/>
            <w:vAlign w:val="center"/>
          </w:tcPr>
          <w:p>
            <w:pPr>
              <w:suppressAutoHyphens/>
              <w:spacing w:afterAutospacing="0" w:line="360" w:lineRule="auto"/>
              <w:jc w:val="left"/>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1T硬盘</w:t>
            </w: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964" w:type="dxa"/>
            <w:vMerge w:val="continue"/>
            <w:tcBorders>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0" w:type="dxa"/>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4</w:t>
            </w:r>
          </w:p>
        </w:tc>
        <w:tc>
          <w:tcPr>
            <w:tcW w:w="1282" w:type="dxa"/>
            <w:tcBorders>
              <w:top w:val="single" w:color="000000" w:sz="4" w:space="0"/>
              <w:left w:val="single" w:color="000000" w:sz="8"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平台托管服务</w:t>
            </w:r>
          </w:p>
        </w:tc>
        <w:tc>
          <w:tcPr>
            <w:tcW w:w="1393" w:type="dxa"/>
            <w:tcBorders>
              <w:top w:val="single" w:color="000000" w:sz="4" w:space="0"/>
              <w:left w:val="single" w:color="000000" w:sz="4" w:space="0"/>
              <w:bottom w:val="single" w:color="000000" w:sz="4" w:space="0"/>
              <w:right w:val="nil"/>
            </w:tcBorders>
            <w:noWrap w:val="0"/>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c>
          <w:tcPr>
            <w:tcW w:w="3903" w:type="dxa"/>
            <w:tcBorders>
              <w:top w:val="single" w:color="000000" w:sz="8" w:space="0"/>
              <w:left w:val="single" w:color="000000" w:sz="8" w:space="0"/>
              <w:bottom w:val="single" w:color="000000" w:sz="8" w:space="0"/>
              <w:right w:val="single" w:color="000000" w:sz="8" w:space="0"/>
            </w:tcBorders>
            <w:noWrap w:val="0"/>
            <w:vAlign w:val="center"/>
          </w:tcPr>
          <w:p>
            <w:pPr>
              <w:suppressAutoHyphens/>
              <w:spacing w:after="120" w:afterLines="50" w:line="360" w:lineRule="auto"/>
              <w:jc w:val="left"/>
              <w:outlineLvl w:val="0"/>
              <w:rPr>
                <w:rFonts w:hint="eastAsia" w:ascii="宋体" w:hAnsi="宋体" w:eastAsia="宋体" w:cs="宋体"/>
                <w:b w:val="0"/>
                <w:bCs w:val="0"/>
                <w:kern w:val="2"/>
                <w:sz w:val="21"/>
                <w:szCs w:val="21"/>
                <w:lang w:val="en-US" w:eastAsia="zh-CN"/>
              </w:rPr>
            </w:pPr>
          </w:p>
        </w:tc>
        <w:tc>
          <w:tcPr>
            <w:tcW w:w="836" w:type="dxa"/>
            <w:tcBorders>
              <w:top w:val="single" w:color="000000" w:sz="4" w:space="0"/>
              <w:left w:val="nil"/>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年</w:t>
            </w:r>
          </w:p>
        </w:tc>
        <w:tc>
          <w:tcPr>
            <w:tcW w:w="964" w:type="dxa"/>
            <w:tcBorders>
              <w:top w:val="single" w:color="000000" w:sz="4" w:space="0"/>
              <w:left w:val="single" w:color="000000" w:sz="4" w:space="0"/>
              <w:bottom w:val="single" w:color="000000" w:sz="4" w:space="0"/>
              <w:right w:val="single" w:color="000000" w:sz="4" w:space="0"/>
            </w:tcBorders>
            <w:noWrap/>
            <w:vAlign w:val="center"/>
          </w:tcPr>
          <w:p>
            <w:pPr>
              <w:suppressAutoHyphens/>
              <w:spacing w:after="120" w:afterLines="50" w:line="360" w:lineRule="auto"/>
              <w:jc w:val="center"/>
              <w:outlineLvl w:val="0"/>
              <w:rPr>
                <w:rFonts w:hint="eastAsia" w:ascii="宋体" w:hAnsi="宋体" w:eastAsia="宋体" w:cs="宋体"/>
                <w:b w:val="0"/>
                <w:bCs w:val="0"/>
                <w:kern w:val="2"/>
                <w:sz w:val="21"/>
                <w:szCs w:val="21"/>
                <w:lang w:val="en-US" w:eastAsia="zh-CN"/>
              </w:rPr>
            </w:pPr>
          </w:p>
        </w:tc>
      </w:tr>
    </w:tbl>
    <w:p>
      <w:pPr>
        <w:suppressAutoHyphens/>
        <w:spacing w:afterAutospacing="0" w:line="360" w:lineRule="auto"/>
        <w:jc w:val="both"/>
        <w:outlineLvl w:val="0"/>
        <w:rPr>
          <w:rFonts w:hint="eastAsia" w:ascii="宋体" w:hAnsi="宋体" w:eastAsia="宋体" w:cs="宋体"/>
          <w:b/>
          <w:bCs/>
          <w:kern w:val="2"/>
          <w:sz w:val="32"/>
          <w:szCs w:val="32"/>
          <w:lang w:val="en-US" w:eastAsia="zh-CN"/>
        </w:rPr>
      </w:pPr>
    </w:p>
    <w:p>
      <w:pPr>
        <w:suppressAutoHyphens/>
        <w:spacing w:beforeAutospacing="0" w:afterAutospacing="0" w:line="360" w:lineRule="auto"/>
        <w:jc w:val="both"/>
        <w:outlineLvl w:val="0"/>
        <w:rPr>
          <w:rFonts w:hint="eastAsia" w:ascii="宋体" w:hAnsi="宋体" w:eastAsia="宋体" w:cs="宋体"/>
          <w:b/>
          <w:bCs/>
          <w:kern w:val="2"/>
          <w:sz w:val="32"/>
          <w:szCs w:val="32"/>
          <w:lang w:val="en-US" w:eastAsia="zh-CN"/>
        </w:rPr>
      </w:pPr>
      <w:r>
        <w:rPr>
          <w:rFonts w:hint="eastAsia" w:ascii="宋体" w:hAnsi="宋体" w:eastAsia="宋体" w:cs="宋体"/>
          <w:b/>
          <w:bCs/>
          <w:kern w:val="2"/>
          <w:sz w:val="24"/>
          <w:szCs w:val="24"/>
          <w:lang w:val="en-US" w:eastAsia="zh-CN"/>
        </w:rPr>
        <w:t>3、网络通讯服务</w:t>
      </w:r>
    </w:p>
    <w:tbl>
      <w:tblPr>
        <w:tblStyle w:val="10"/>
        <w:tblW w:w="9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0"/>
        <w:gridCol w:w="1531"/>
        <w:gridCol w:w="3402"/>
        <w:gridCol w:w="850"/>
        <w:gridCol w:w="850"/>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suppressAutoHyphens/>
              <w:spacing w:beforeAutospacing="0"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序号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类别</w:t>
            </w:r>
          </w:p>
        </w:tc>
        <w:tc>
          <w:tcPr>
            <w:tcW w:w="3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功能描述</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单位</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uppressAutoHyphens/>
              <w:spacing w:afterAutospacing="0" w:line="360" w:lineRule="auto"/>
              <w:jc w:val="center"/>
              <w:outlineLvl w:val="0"/>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50" w:type="dxa"/>
            <w:tcBorders>
              <w:top w:val="single" w:color="000000" w:sz="4" w:space="0"/>
              <w:left w:val="single" w:color="000000" w:sz="8"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4G流量卡</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设备通讯</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张/年</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按年计费（含新办理2张）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50" w:type="dxa"/>
            <w:tcBorders>
              <w:top w:val="single" w:color="000000" w:sz="4" w:space="0"/>
              <w:left w:val="single" w:color="000000" w:sz="8" w:space="0"/>
              <w:bottom w:val="single" w:color="000000" w:sz="4" w:space="0"/>
              <w:right w:val="single" w:color="000000" w:sz="4" w:space="0"/>
            </w:tcBorders>
            <w:noWrap/>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2</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nb物联网卡</w:t>
            </w: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物联网监测设备接入互联网</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484</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张/年</w:t>
            </w:r>
          </w:p>
        </w:tc>
        <w:tc>
          <w:tcPr>
            <w:tcW w:w="1587" w:type="dxa"/>
            <w:tcBorders>
              <w:top w:val="single" w:color="000000" w:sz="4" w:space="0"/>
              <w:left w:val="single" w:color="000000" w:sz="4" w:space="0"/>
              <w:bottom w:val="single" w:color="000000" w:sz="4" w:space="0"/>
              <w:right w:val="single" w:color="000000" w:sz="4" w:space="0"/>
            </w:tcBorders>
            <w:noWrap w:val="0"/>
            <w:vAlign w:val="center"/>
          </w:tcPr>
          <w:p>
            <w:pPr>
              <w:suppressAutoHyphens/>
              <w:spacing w:afterAutospacing="0" w:line="360" w:lineRule="auto"/>
              <w:jc w:val="center"/>
              <w:outlineLvl w:val="0"/>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按年计费（含新办理484张）</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8D212C"/>
    <w:multiLevelType w:val="multilevel"/>
    <w:tmpl w:val="188D212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ZjNkMDI3ZWE3MDU0ODJkNTRmMjhlMjcyZGYzN2MifQ=="/>
  </w:docVars>
  <w:rsids>
    <w:rsidRoot w:val="00000000"/>
    <w:rsid w:val="22960EBC"/>
    <w:rsid w:val="65212331"/>
    <w:rsid w:val="66C413FE"/>
    <w:rsid w:val="6FAF4FFE"/>
    <w:rsid w:val="7947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8">
    <w:name w:val="heading 3"/>
    <w:basedOn w:val="1"/>
    <w:next w:val="1"/>
    <w:qFormat/>
    <w:uiPriority w:val="99"/>
    <w:pPr>
      <w:keepNext/>
      <w:keepLines/>
      <w:numPr>
        <w:ilvl w:val="2"/>
        <w:numId w:val="1"/>
      </w:numPr>
      <w:tabs>
        <w:tab w:val="left" w:pos="432"/>
      </w:tabs>
      <w:spacing w:line="360" w:lineRule="auto"/>
      <w:outlineLvl w:val="2"/>
    </w:pPr>
    <w:rPr>
      <w:b/>
      <w:bCs/>
      <w:sz w:val="24"/>
      <w:szCs w:val="32"/>
    </w:rPr>
  </w:style>
  <w:style w:type="paragraph" w:styleId="9">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napToGrid w:val="0"/>
      <w:spacing w:after="0" w:line="360" w:lineRule="auto"/>
      <w:ind w:left="0" w:leftChars="0" w:firstLine="420" w:firstLineChars="200"/>
    </w:pPr>
    <w:rPr>
      <w:rFonts w:ascii="宋体"/>
      <w:sz w:val="24"/>
    </w:r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0"/>
    <w:pPr>
      <w:snapToGrid w:val="0"/>
    </w:pPr>
    <w:rPr>
      <w:rFonts w:ascii="Arial" w:hAnsi="Arial" w:eastAsia="宋体" w:cs="Arial"/>
      <w:sz w:val="21"/>
      <w:szCs w:val="24"/>
    </w:rPr>
  </w:style>
  <w:style w:type="paragraph" w:styleId="5">
    <w:name w:val="Body Text First Indent"/>
    <w:basedOn w:val="6"/>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6">
    <w:name w:val="Body Text"/>
    <w:basedOn w:val="1"/>
    <w:next w:val="7"/>
    <w:qFormat/>
    <w:uiPriority w:val="0"/>
    <w:pPr>
      <w:spacing w:line="360" w:lineRule="auto"/>
    </w:pPr>
    <w:rPr>
      <w:rFonts w:ascii="Cambria" w:hAnsi="Arial" w:eastAsia="Cambria"/>
      <w:sz w:val="24"/>
      <w:szCs w:val="28"/>
    </w:rPr>
  </w:style>
  <w:style w:type="paragraph" w:styleId="7">
    <w:name w:val="Date"/>
    <w:basedOn w:val="1"/>
    <w:next w:val="1"/>
    <w:qFormat/>
    <w:uiPriority w:val="0"/>
    <w:pPr>
      <w:ind w:left="100" w:leftChars="2500"/>
    </w:pPr>
    <w:rPr>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3559</Words>
  <Characters>4176</Characters>
  <Lines>0</Lines>
  <Paragraphs>0</Paragraphs>
  <TotalTime>1</TotalTime>
  <ScaleCrop>false</ScaleCrop>
  <LinksUpToDate>false</LinksUpToDate>
  <CharactersWithSpaces>4302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2022-07-04T01:52:00Z</dcterms:created>
  <dc:creator>Administrator</dc:creator>
  <cp:lastModifiedBy>莫忘初衷</cp:lastModifiedBy>
  <dcterms:modified xsi:type="dcterms:W3CDTF">2022-08-15T09:22:00Z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303DAD5897D84F32834D71081393EF1A</vt:lpwstr>
  </property>
</Properties>
</file>