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4F" w:rsidRDefault="0013414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1111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111111"/>
          <w:sz w:val="44"/>
          <w:szCs w:val="44"/>
        </w:rPr>
        <w:t>淮南高新区2020年财政预算草案</w:t>
      </w:r>
    </w:p>
    <w:p w:rsidR="003C3BC1" w:rsidRDefault="0013414F" w:rsidP="0013414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1111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111111"/>
          <w:sz w:val="44"/>
          <w:szCs w:val="44"/>
        </w:rPr>
        <w:t>编制情况</w:t>
      </w:r>
      <w:r w:rsidR="005913A5">
        <w:rPr>
          <w:rFonts w:ascii="方正小标宋简体" w:eastAsia="方正小标宋简体" w:hAnsi="方正小标宋简体" w:cs="方正小标宋简体" w:hint="eastAsia"/>
          <w:b/>
          <w:bCs/>
          <w:color w:val="111111"/>
          <w:sz w:val="44"/>
          <w:szCs w:val="44"/>
        </w:rPr>
        <w:t>说明</w:t>
      </w:r>
    </w:p>
    <w:p w:rsidR="003C3BC1" w:rsidRDefault="003C3BC1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</w:p>
    <w:p w:rsidR="003C3BC1" w:rsidRDefault="0013414F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color w:val="11111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111111"/>
          <w:sz w:val="32"/>
          <w:szCs w:val="32"/>
        </w:rPr>
        <w:t>一、起草背景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根据《预算法》和《安徽省预算审查监督条例》，结合我区实际，财政局于2019年10月启动高新区2020年财政预算编制工作。《高新区2020年财政预算草案》先后经过一上、一下、二上、二下，并结合高新区预算审查工作领导小组审议意见进一步修改完善，形成《高新区2020年财政预算草案》。</w:t>
      </w:r>
    </w:p>
    <w:p w:rsidR="003C3BC1" w:rsidRDefault="0013414F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color w:val="11111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111111"/>
          <w:sz w:val="32"/>
          <w:szCs w:val="32"/>
        </w:rPr>
        <w:t>二、主要内容</w:t>
      </w:r>
    </w:p>
    <w:p w:rsidR="003C3BC1" w:rsidRDefault="0013414F">
      <w:pPr>
        <w:spacing w:line="560" w:lineRule="exact"/>
        <w:ind w:firstLineChars="200" w:firstLine="640"/>
        <w:rPr>
          <w:rFonts w:ascii="黑体" w:eastAsia="黑体" w:hAnsi="黑体" w:cs="黑体"/>
          <w:color w:val="111111"/>
          <w:sz w:val="32"/>
          <w:szCs w:val="32"/>
        </w:rPr>
      </w:pPr>
      <w:r>
        <w:rPr>
          <w:rFonts w:ascii="黑体" w:eastAsia="黑体" w:hAnsi="黑体" w:cs="黑体" w:hint="eastAsia"/>
          <w:color w:val="111111"/>
          <w:sz w:val="32"/>
          <w:szCs w:val="32"/>
        </w:rPr>
        <w:t>（一）一般公共预算安排情况</w:t>
      </w:r>
    </w:p>
    <w:p w:rsidR="003C3BC1" w:rsidRDefault="0013414F">
      <w:pPr>
        <w:spacing w:line="560" w:lineRule="exact"/>
        <w:ind w:firstLineChars="200" w:firstLine="640"/>
        <w:rPr>
          <w:rFonts w:ascii="楷体" w:eastAsia="楷体" w:hAnsi="楷体" w:cs="楷体"/>
          <w:color w:val="111111"/>
          <w:sz w:val="32"/>
          <w:szCs w:val="32"/>
        </w:rPr>
      </w:pPr>
      <w:r>
        <w:rPr>
          <w:rFonts w:ascii="楷体" w:eastAsia="楷体" w:hAnsi="楷体" w:cs="楷体" w:hint="eastAsia"/>
          <w:color w:val="111111"/>
          <w:sz w:val="32"/>
          <w:szCs w:val="32"/>
        </w:rPr>
        <w:t>1、一般公共预算收入情况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预期目标：2020年，财政总收入预期目标100800万元，比上年增长14.5%。按照征收部门分解任务：税务部门完成85000万元，比上年下降3.4%；财政部门完成15800万元，较上年多完成15755万元。</w:t>
      </w:r>
    </w:p>
    <w:p w:rsidR="003C3BC1" w:rsidRDefault="0013414F">
      <w:pPr>
        <w:spacing w:line="560" w:lineRule="exact"/>
        <w:ind w:firstLineChars="200" w:firstLine="640"/>
        <w:rPr>
          <w:rFonts w:ascii="楷体" w:eastAsia="楷体" w:hAnsi="楷体" w:cs="楷体"/>
          <w:color w:val="111111"/>
          <w:sz w:val="32"/>
          <w:szCs w:val="32"/>
        </w:rPr>
      </w:pPr>
      <w:r>
        <w:rPr>
          <w:rFonts w:ascii="楷体" w:eastAsia="楷体" w:hAnsi="楷体" w:cs="楷体" w:hint="eastAsia"/>
          <w:color w:val="111111"/>
          <w:sz w:val="32"/>
          <w:szCs w:val="32"/>
        </w:rPr>
        <w:t>2、财力情况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全年财力76862万元。主要是地方财政收入67650万元，税收返还收入8167万元，体制补助收入2154万元，专项转移支付收入9891万元，上解支出11000万元。</w:t>
      </w:r>
    </w:p>
    <w:p w:rsidR="00F06AE4" w:rsidRPr="0099422E" w:rsidRDefault="00F06AE4" w:rsidP="0099422E">
      <w:pPr>
        <w:spacing w:line="560" w:lineRule="exact"/>
        <w:ind w:firstLineChars="200" w:firstLine="640"/>
        <w:rPr>
          <w:rFonts w:ascii="楷体" w:eastAsia="楷体" w:hAnsi="楷体" w:cs="楷体"/>
          <w:color w:val="111111"/>
          <w:sz w:val="32"/>
          <w:szCs w:val="32"/>
        </w:rPr>
      </w:pPr>
      <w:r w:rsidRPr="0099422E">
        <w:rPr>
          <w:rFonts w:ascii="楷体" w:eastAsia="楷体" w:hAnsi="楷体" w:cs="楷体" w:hint="eastAsia"/>
          <w:color w:val="111111"/>
          <w:sz w:val="32"/>
          <w:szCs w:val="32"/>
        </w:rPr>
        <w:t>3、转移支付安排情况</w:t>
      </w:r>
    </w:p>
    <w:p w:rsidR="00F06AE4" w:rsidRDefault="00F06AE4" w:rsidP="00F06AE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2020年共下达上级提前转移支付</w:t>
      </w:r>
      <w:r w:rsidR="00713CF1">
        <w:rPr>
          <w:rFonts w:ascii="仿宋_GB2312" w:eastAsia="仿宋_GB2312" w:hint="eastAsia"/>
          <w:sz w:val="32"/>
          <w:szCs w:val="32"/>
        </w:rPr>
        <w:t>12045万元，其中，一般性转移支付2154万元，专项转移支付</w:t>
      </w:r>
      <w:r>
        <w:rPr>
          <w:rFonts w:ascii="仿宋_GB2312" w:eastAsia="仿宋_GB2312" w:hint="eastAsia"/>
          <w:sz w:val="32"/>
          <w:szCs w:val="32"/>
        </w:rPr>
        <w:t>9891万元。其中，</w:t>
      </w:r>
      <w:r>
        <w:rPr>
          <w:rFonts w:ascii="仿宋_GB2312" w:eastAsia="仿宋_GB2312" w:hint="eastAsia"/>
          <w:sz w:val="32"/>
          <w:szCs w:val="32"/>
        </w:rPr>
        <w:lastRenderedPageBreak/>
        <w:t>教育支出上级提前下达</w:t>
      </w:r>
      <w:r w:rsidR="00713CF1">
        <w:rPr>
          <w:rFonts w:ascii="仿宋_GB2312" w:eastAsia="仿宋_GB2312" w:hint="eastAsia"/>
          <w:sz w:val="32"/>
          <w:szCs w:val="32"/>
        </w:rPr>
        <w:t>专项</w:t>
      </w:r>
      <w:r>
        <w:rPr>
          <w:rFonts w:ascii="仿宋_GB2312" w:eastAsia="仿宋_GB2312" w:hint="eastAsia"/>
          <w:sz w:val="32"/>
          <w:szCs w:val="32"/>
        </w:rPr>
        <w:t>转移支付316万元，文化体育与传媒支出上级提前下达</w:t>
      </w:r>
      <w:r w:rsidR="00713CF1">
        <w:rPr>
          <w:rFonts w:ascii="仿宋_GB2312" w:eastAsia="仿宋_GB2312" w:hint="eastAsia"/>
          <w:sz w:val="32"/>
          <w:szCs w:val="32"/>
        </w:rPr>
        <w:t>专项转移支付</w:t>
      </w:r>
      <w:r>
        <w:rPr>
          <w:rFonts w:ascii="仿宋_GB2312" w:eastAsia="仿宋_GB2312" w:hint="eastAsia"/>
          <w:sz w:val="32"/>
          <w:szCs w:val="32"/>
        </w:rPr>
        <w:t>14万元，社会保障和就业支出上级提前下达</w:t>
      </w:r>
      <w:r w:rsidR="00713CF1">
        <w:rPr>
          <w:rFonts w:ascii="仿宋_GB2312" w:eastAsia="仿宋_GB2312" w:hint="eastAsia"/>
          <w:sz w:val="32"/>
          <w:szCs w:val="32"/>
        </w:rPr>
        <w:t>专项转移支付</w:t>
      </w:r>
      <w:r>
        <w:rPr>
          <w:rFonts w:ascii="仿宋_GB2312" w:eastAsia="仿宋_GB2312" w:hint="eastAsia"/>
          <w:sz w:val="32"/>
          <w:szCs w:val="32"/>
        </w:rPr>
        <w:t>154万元，卫生健康支出上级提前下达</w:t>
      </w:r>
      <w:r w:rsidR="00713CF1">
        <w:rPr>
          <w:rFonts w:ascii="仿宋_GB2312" w:eastAsia="仿宋_GB2312" w:hint="eastAsia"/>
          <w:sz w:val="32"/>
          <w:szCs w:val="32"/>
        </w:rPr>
        <w:t>专项转移支付</w:t>
      </w:r>
      <w:r>
        <w:rPr>
          <w:rFonts w:ascii="仿宋_GB2312" w:eastAsia="仿宋_GB2312" w:hint="eastAsia"/>
          <w:sz w:val="32"/>
          <w:szCs w:val="32"/>
        </w:rPr>
        <w:t>413万元，农林水支出上级提前下达</w:t>
      </w:r>
      <w:r w:rsidR="00713CF1">
        <w:rPr>
          <w:rFonts w:ascii="仿宋_GB2312" w:eastAsia="仿宋_GB2312" w:hint="eastAsia"/>
          <w:sz w:val="32"/>
          <w:szCs w:val="32"/>
        </w:rPr>
        <w:t>专项转移支付</w:t>
      </w:r>
      <w:r>
        <w:rPr>
          <w:rFonts w:ascii="仿宋_GB2312" w:eastAsia="仿宋_GB2312" w:hint="eastAsia"/>
          <w:sz w:val="32"/>
          <w:szCs w:val="32"/>
        </w:rPr>
        <w:t>440万元，资源勘探工业信息等支出上级提前下达</w:t>
      </w:r>
      <w:r w:rsidR="00713CF1">
        <w:rPr>
          <w:rFonts w:ascii="仿宋_GB2312" w:eastAsia="仿宋_GB2312" w:hint="eastAsia"/>
          <w:sz w:val="32"/>
          <w:szCs w:val="32"/>
        </w:rPr>
        <w:t>专项转移支付</w:t>
      </w:r>
      <w:r>
        <w:rPr>
          <w:rFonts w:ascii="仿宋_GB2312" w:eastAsia="仿宋_GB2312" w:hint="eastAsia"/>
          <w:sz w:val="32"/>
          <w:szCs w:val="32"/>
        </w:rPr>
        <w:t>1000万元，住房保障支出上级提前下达</w:t>
      </w:r>
      <w:r w:rsidR="00713CF1">
        <w:rPr>
          <w:rFonts w:ascii="仿宋_GB2312" w:eastAsia="仿宋_GB2312" w:hint="eastAsia"/>
          <w:sz w:val="32"/>
          <w:szCs w:val="32"/>
        </w:rPr>
        <w:t>专项转移支付</w:t>
      </w:r>
      <w:r>
        <w:rPr>
          <w:rFonts w:ascii="仿宋_GB2312" w:eastAsia="仿宋_GB2312" w:hint="eastAsia"/>
          <w:sz w:val="32"/>
          <w:szCs w:val="32"/>
        </w:rPr>
        <w:t>7554万元。</w:t>
      </w:r>
    </w:p>
    <w:p w:rsidR="003C3BC1" w:rsidRDefault="00F06AE4">
      <w:pPr>
        <w:spacing w:line="560" w:lineRule="exact"/>
        <w:ind w:firstLineChars="200" w:firstLine="640"/>
        <w:rPr>
          <w:rFonts w:ascii="楷体" w:eastAsia="楷体" w:hAnsi="楷体" w:cs="楷体"/>
          <w:color w:val="111111"/>
          <w:sz w:val="32"/>
          <w:szCs w:val="32"/>
        </w:rPr>
      </w:pPr>
      <w:r>
        <w:rPr>
          <w:rFonts w:ascii="楷体" w:eastAsia="楷体" w:hAnsi="楷体" w:cs="楷体" w:hint="eastAsia"/>
          <w:color w:val="111111"/>
          <w:sz w:val="32"/>
          <w:szCs w:val="32"/>
        </w:rPr>
        <w:t>4</w:t>
      </w:r>
      <w:r w:rsidR="0013414F">
        <w:rPr>
          <w:rFonts w:ascii="楷体" w:eastAsia="楷体" w:hAnsi="楷体" w:cs="楷体" w:hint="eastAsia"/>
          <w:color w:val="111111"/>
          <w:sz w:val="32"/>
          <w:szCs w:val="32"/>
        </w:rPr>
        <w:t>、一般公共预算支出情况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2020年高新区本级财政预算支出76862万元。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（1）分科目支出：一般公共服务支出7324万元，国防支出5万元，公共安全支出1153万元，教育支出8345万元，科学技术支出40万元，文化体育与传媒支出44万元，社会保障和就业支出936万元，卫生健康支出913万元，节能环保支出1223万元，城乡社区事务支出11278万元，农林水支出2374万元，资源勘探工业信息等支出27019万元，自然资源海洋气象支出301万元，住房保障支出7658万元，灾害防治及应急管理支出2438万元，预备费800万元，债务付息5000万，其他支出11万元。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（2）分性质支出：部门预算支出12035万元（人员支出3752万元、定额公用支出308万元、部门专项支出7975万元），大预算支出30707万元（含产业发展引导、优惠政策兑现、财政补贴23500万元），民生工程支出715万元，债务付息支出5000万元，三和镇经费补助支出3000万元，项目建设支出14714万元，预备费800万元，专项转移支付支出9891万元。</w:t>
      </w:r>
    </w:p>
    <w:p w:rsidR="003C3BC1" w:rsidRDefault="00F06AE4">
      <w:pPr>
        <w:spacing w:line="560" w:lineRule="exact"/>
        <w:ind w:firstLineChars="200" w:firstLine="640"/>
        <w:rPr>
          <w:rFonts w:ascii="楷体" w:eastAsia="楷体" w:hAnsi="楷体" w:cs="楷体"/>
          <w:color w:val="111111"/>
          <w:sz w:val="32"/>
          <w:szCs w:val="32"/>
        </w:rPr>
      </w:pPr>
      <w:r>
        <w:rPr>
          <w:rFonts w:ascii="楷体" w:eastAsia="楷体" w:hAnsi="楷体" w:cs="楷体" w:hint="eastAsia"/>
          <w:color w:val="111111"/>
          <w:sz w:val="32"/>
          <w:szCs w:val="32"/>
        </w:rPr>
        <w:t>5</w:t>
      </w:r>
      <w:r w:rsidR="0013414F">
        <w:rPr>
          <w:rFonts w:ascii="楷体" w:eastAsia="楷体" w:hAnsi="楷体" w:cs="楷体" w:hint="eastAsia"/>
          <w:color w:val="111111"/>
          <w:sz w:val="32"/>
          <w:szCs w:val="32"/>
        </w:rPr>
        <w:t>、其他需要说明的情况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（1）重点专项经费安排情况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2020年预算安排信访维稳专项35万元（城乡工作局35万元）、扫黑除恶专项50万元（城乡工作局20万元、公安分局30万元）、环境保护专项100万元（建设发展局100万元）、安全生产专项68万元（建设发展局68万元）、党风廉政建设专项10万元（监察室10万元）、禁燃禁放专项10万元（公安分局10万元）、文明创建专项200万元（社会事业局66万元、市场监管局4万元、城管分局120万元、公安分局10万元）。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 xml:space="preserve">（2）民生工程  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截止目前，淮南市2020年度民生工程资金筹措办法尚未出台，各主管部门参照上年民生工程项目及标准测算，区级配套资金为715万元，待2020年度相关政策明确后按规定程序调整。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 xml:space="preserve">（3）项目建设资金安排情况 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按2020年高新区重点项目谋划表中自建续建及新开工项目年度投资额，优先保障应由一般公共预算安排的工资、运转、基本民生等支出外，安排项目建设资金14714万元，不足部分从政府性基金和融资中解决。</w:t>
      </w:r>
    </w:p>
    <w:p w:rsidR="003C3BC1" w:rsidRDefault="0013414F">
      <w:pPr>
        <w:spacing w:line="560" w:lineRule="exact"/>
        <w:ind w:firstLineChars="200" w:firstLine="640"/>
        <w:rPr>
          <w:rFonts w:ascii="黑体" w:eastAsia="黑体" w:hAnsi="黑体" w:cs="黑体"/>
          <w:color w:val="111111"/>
          <w:sz w:val="32"/>
          <w:szCs w:val="32"/>
        </w:rPr>
      </w:pPr>
      <w:r>
        <w:rPr>
          <w:rFonts w:ascii="黑体" w:eastAsia="黑体" w:hAnsi="黑体" w:cs="黑体" w:hint="eastAsia"/>
          <w:color w:val="111111"/>
          <w:sz w:val="32"/>
          <w:szCs w:val="32"/>
        </w:rPr>
        <w:t>（二）政府性基金预算安排情况</w:t>
      </w:r>
    </w:p>
    <w:p w:rsidR="003C3BC1" w:rsidRDefault="0013414F">
      <w:pPr>
        <w:spacing w:line="560" w:lineRule="exact"/>
        <w:ind w:firstLineChars="200" w:firstLine="640"/>
        <w:rPr>
          <w:rFonts w:ascii="楷体" w:eastAsia="楷体" w:hAnsi="楷体" w:cs="楷体"/>
          <w:color w:val="111111"/>
          <w:sz w:val="32"/>
          <w:szCs w:val="32"/>
        </w:rPr>
      </w:pPr>
      <w:r>
        <w:rPr>
          <w:rFonts w:ascii="楷体" w:eastAsia="楷体" w:hAnsi="楷体" w:cs="楷体" w:hint="eastAsia"/>
          <w:color w:val="111111"/>
          <w:sz w:val="32"/>
          <w:szCs w:val="32"/>
        </w:rPr>
        <w:t>1、政府性基金预算收入情况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2020年预计完成政府性基金预算收入164546万元，其中土地出让金160546万元，城市基础设施配套费4000万元。</w:t>
      </w:r>
    </w:p>
    <w:p w:rsidR="003C3BC1" w:rsidRDefault="0013414F">
      <w:pPr>
        <w:spacing w:line="560" w:lineRule="exact"/>
        <w:ind w:firstLineChars="200" w:firstLine="640"/>
        <w:rPr>
          <w:rFonts w:ascii="楷体" w:eastAsia="楷体" w:hAnsi="楷体" w:cs="楷体"/>
          <w:color w:val="111111"/>
          <w:sz w:val="32"/>
          <w:szCs w:val="32"/>
        </w:rPr>
      </w:pPr>
      <w:r>
        <w:rPr>
          <w:rFonts w:ascii="楷体" w:eastAsia="楷体" w:hAnsi="楷体" w:cs="楷体" w:hint="eastAsia"/>
          <w:color w:val="111111"/>
          <w:sz w:val="32"/>
          <w:szCs w:val="32"/>
        </w:rPr>
        <w:t>2、政府性基金预算支出情况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2020年政府性基金预算支出164546万元，主要包括：土地开发支出（报批、征迁、安置）60409万元（按自然资源部门提供的分地块分项目明细表测算）；项目建设支出23663万元；债务还本付息支出71474万元；失地农民保险支出8000万元；城市基础设施配套费安排的燃气配套费支出1000万元。</w:t>
      </w:r>
    </w:p>
    <w:p w:rsidR="003C3BC1" w:rsidRDefault="0013414F">
      <w:pPr>
        <w:spacing w:line="560" w:lineRule="exact"/>
        <w:ind w:firstLineChars="200" w:firstLine="640"/>
        <w:rPr>
          <w:rFonts w:ascii="黑体" w:eastAsia="黑体" w:hAnsi="黑体" w:cs="黑体"/>
          <w:color w:val="111111"/>
          <w:sz w:val="32"/>
          <w:szCs w:val="32"/>
        </w:rPr>
      </w:pPr>
      <w:r>
        <w:rPr>
          <w:rFonts w:ascii="黑体" w:eastAsia="黑体" w:hAnsi="黑体" w:cs="黑体" w:hint="eastAsia"/>
          <w:color w:val="111111"/>
          <w:sz w:val="32"/>
          <w:szCs w:val="32"/>
        </w:rPr>
        <w:t>（三）政府性债务收支情况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2019年底，高新区管委会政府债务余额为689251万元，其中管委会本级407502万元（含政府债券268979万元），高新投资集团公司281749万元；2020年拟新增债务194300万元，其中政府债券77000万元，金融机构贷款和企业债92300万元，合作单位投资25000万元；2020年拟偿还债务本金73215万元；到2020年底，全口径债务余额预计为810336万元。</w:t>
      </w:r>
    </w:p>
    <w:p w:rsidR="003C3BC1" w:rsidRDefault="0013414F">
      <w:pPr>
        <w:spacing w:line="560" w:lineRule="exact"/>
        <w:ind w:firstLineChars="200" w:firstLine="640"/>
        <w:rPr>
          <w:rFonts w:ascii="黑体" w:eastAsia="黑体" w:hAnsi="黑体" w:cs="黑体"/>
          <w:color w:val="111111"/>
          <w:sz w:val="32"/>
          <w:szCs w:val="32"/>
        </w:rPr>
      </w:pPr>
      <w:r>
        <w:rPr>
          <w:rFonts w:ascii="黑体" w:eastAsia="黑体" w:hAnsi="黑体" w:cs="黑体" w:hint="eastAsia"/>
          <w:color w:val="111111"/>
          <w:sz w:val="32"/>
          <w:szCs w:val="32"/>
        </w:rPr>
        <w:t>（四）2020年主要工作措施</w:t>
      </w:r>
    </w:p>
    <w:p w:rsidR="003C3BC1" w:rsidRDefault="0013414F">
      <w:pPr>
        <w:spacing w:line="560" w:lineRule="exact"/>
        <w:ind w:firstLineChars="200" w:firstLine="640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color w:val="111111"/>
          <w:sz w:val="32"/>
          <w:szCs w:val="32"/>
        </w:rPr>
        <w:t>2020年，我们将围绕上述预算安排，坚持稳中求进工作总基调，坚持新发展理念，紧扣全面建成小康社会目标任务，依法聚财、科学理财，合理用财，确保全年预算收支目标任务顺利完成。</w:t>
      </w:r>
    </w:p>
    <w:p w:rsidR="003C3BC1" w:rsidRDefault="0013414F">
      <w:pPr>
        <w:spacing w:line="560" w:lineRule="exact"/>
        <w:ind w:firstLineChars="200" w:firstLine="643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111111"/>
          <w:sz w:val="32"/>
          <w:szCs w:val="32"/>
        </w:rPr>
        <w:t>1、早谋划保障财政平稳运行。</w:t>
      </w:r>
      <w:r>
        <w:rPr>
          <w:rFonts w:ascii="仿宋_GB2312" w:eastAsia="仿宋_GB2312" w:hAnsi="宋体" w:hint="eastAsia"/>
          <w:color w:val="111111"/>
          <w:sz w:val="32"/>
          <w:szCs w:val="32"/>
        </w:rPr>
        <w:t>准确把握新冠肺炎疫情、宏观经济形势、减税降费政策对财政收入的影响，合理判断财政收入形势。强化财源培育，创新招商引资引税方式，侧重积累中长期财政收入增长基础，努力培植新兴税源，逐步建立可持续发展的地方财源体系。完善税收保障机制与协税护税体系建设，依法依规组织收入，科学安排收入序时进度。</w:t>
      </w:r>
    </w:p>
    <w:p w:rsidR="003C3BC1" w:rsidRDefault="0013414F">
      <w:pPr>
        <w:spacing w:line="560" w:lineRule="exact"/>
        <w:ind w:firstLineChars="200" w:firstLine="643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111111"/>
          <w:sz w:val="32"/>
          <w:szCs w:val="32"/>
        </w:rPr>
        <w:t>2、稳预期强化财政收支预算管理。</w:t>
      </w:r>
      <w:r>
        <w:rPr>
          <w:rFonts w:ascii="仿宋_GB2312" w:eastAsia="仿宋_GB2312" w:hAnsi="宋体" w:hint="eastAsia"/>
          <w:color w:val="111111"/>
          <w:sz w:val="32"/>
          <w:szCs w:val="32"/>
        </w:rPr>
        <w:t>提质增效实施积极的财政政策，正确处理减税降费与依法组织收入的关系，强化收入征管和调度分析，落实财税联动机制，保障财政收入增长可持续、有质量。严格遵循“先预算、后支出”原则，更加注重支出结构优化调整，进一步压缩一般性支出，加强“三公”经费管理，确保“三公”经费支出只减不增。提高支出精准度，切实保障好重点领域建设。</w:t>
      </w:r>
    </w:p>
    <w:p w:rsidR="003C3BC1" w:rsidRDefault="0013414F">
      <w:pPr>
        <w:spacing w:line="560" w:lineRule="exact"/>
        <w:ind w:firstLineChars="200" w:firstLine="643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111111"/>
          <w:sz w:val="32"/>
          <w:szCs w:val="32"/>
        </w:rPr>
        <w:t>3、坚持民生优先提高投入保障水平。</w:t>
      </w:r>
      <w:r>
        <w:rPr>
          <w:rFonts w:ascii="仿宋_GB2312" w:eastAsia="仿宋_GB2312" w:hAnsi="宋体" w:hint="eastAsia"/>
          <w:color w:val="111111"/>
          <w:sz w:val="32"/>
          <w:szCs w:val="32"/>
        </w:rPr>
        <w:t>一是加大各类社会事业投入力度，支持教育事业优先发展，推进医疗卫生事业加速发展，夯实基础托好底，着力提高基本公共服务水平。二是全力支持脱贫攻坚。围绕产业扶贫、项目扶贫，筹措资金全力保障。进一步完善扶贫小额信贷风险补偿和分担机制，健全常态化监管机制，加强扶贫资金绩效管理，提高财政扶贫专项资金使用效率。三是推动生态文明建设。大力支持绿色发展，全力支持打赢污染防治攻坚战。</w:t>
      </w:r>
    </w:p>
    <w:p w:rsidR="003C3BC1" w:rsidRDefault="0013414F">
      <w:pPr>
        <w:spacing w:line="560" w:lineRule="exact"/>
        <w:ind w:firstLineChars="200" w:firstLine="643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111111"/>
          <w:sz w:val="32"/>
          <w:szCs w:val="32"/>
        </w:rPr>
        <w:t>4、聚焦提质增效全力助推高质量发展。</w:t>
      </w:r>
      <w:r>
        <w:rPr>
          <w:rFonts w:ascii="仿宋_GB2312" w:eastAsia="仿宋_GB2312" w:hAnsi="宋体" w:hint="eastAsia"/>
          <w:color w:val="111111"/>
          <w:sz w:val="32"/>
          <w:szCs w:val="32"/>
        </w:rPr>
        <w:t>一是全力支持招商引资。围绕重点项目，落实积极财政政策，优先兑现政策奖励，固本培源，支持做强产业。二是强化政策统筹。加强财政与金融、科技等政策联动，完善财政支持科技创新、经济转型升级、人才创新创业等政策体系。三是创新财政投入和支持方式，综合运用产业引导基金、以奖代补、风险补偿等方式，引导社会资本投入，培育壮大基础财源，发挥财政资金的杠杆作用。</w:t>
      </w:r>
    </w:p>
    <w:p w:rsidR="003C3BC1" w:rsidRDefault="0013414F">
      <w:pPr>
        <w:spacing w:line="560" w:lineRule="exact"/>
        <w:ind w:firstLineChars="200" w:firstLine="643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111111"/>
          <w:sz w:val="32"/>
          <w:szCs w:val="32"/>
        </w:rPr>
        <w:t>5、坚持标本兼治稳妥防范化解债务风险。</w:t>
      </w:r>
      <w:r>
        <w:rPr>
          <w:rFonts w:ascii="仿宋_GB2312" w:eastAsia="仿宋_GB2312" w:hAnsi="宋体" w:hint="eastAsia"/>
          <w:color w:val="111111"/>
          <w:sz w:val="32"/>
          <w:szCs w:val="32"/>
        </w:rPr>
        <w:t>一是加强政府债务风险防控，严格政府债务限额管理。优化债务管控体系，强化对举、借、还全方位的督查指导，重点加强地方政府隐性债务管控。理顺政府与融资平台关系，切实规范融资行为，加强融资成本控制。二是刚性落实化债任务。多渠道筹集资金，完成年度化债任务，确保不发生区域性债务风险。三是坚持促发展与防风险并举，全方位管控政府投资项目。加强政府投资建设计划管理，控制超出财政承受能力的新增项目，切实加强风险源头防控。</w:t>
      </w:r>
    </w:p>
    <w:p w:rsidR="003C3BC1" w:rsidRDefault="0013414F">
      <w:pPr>
        <w:spacing w:line="560" w:lineRule="exact"/>
        <w:ind w:firstLineChars="200" w:firstLine="643"/>
        <w:rPr>
          <w:rFonts w:ascii="仿宋_GB2312" w:eastAsia="仿宋_GB2312" w:hAnsi="宋体"/>
          <w:color w:val="111111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111111"/>
          <w:sz w:val="32"/>
          <w:szCs w:val="32"/>
        </w:rPr>
        <w:t>6、依法规范管理全面提升财政施治效能。</w:t>
      </w:r>
      <w:r>
        <w:rPr>
          <w:rFonts w:ascii="仿宋_GB2312" w:eastAsia="仿宋_GB2312" w:hAnsi="宋体" w:hint="eastAsia"/>
          <w:color w:val="111111"/>
          <w:sz w:val="32"/>
          <w:szCs w:val="32"/>
        </w:rPr>
        <w:t>一是继续强化财政监督检查。围绕党工委、管委会重要决策部署、重大投资项目和重点民生支出，开展专项检查。二是继续加强财政基础管理。建立健全内控制度，研究市区财政体制，加强政策沟通协调，不断提升财政工作效能。三是继续提升财政服务能力水平。加强学习，敏锐把握财政改革发展动态脉络，研判上级政策倾向，结合实际及时谋划，助力高新区产业结构不断优化升级。</w:t>
      </w:r>
    </w:p>
    <w:sectPr w:rsidR="003C3BC1" w:rsidSect="003C3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45D25"/>
    <w:rsid w:val="000578B5"/>
    <w:rsid w:val="00085456"/>
    <w:rsid w:val="00112894"/>
    <w:rsid w:val="0013414F"/>
    <w:rsid w:val="00372EC5"/>
    <w:rsid w:val="003C3BC1"/>
    <w:rsid w:val="0049782E"/>
    <w:rsid w:val="005645E5"/>
    <w:rsid w:val="00570A74"/>
    <w:rsid w:val="005913A5"/>
    <w:rsid w:val="006145E4"/>
    <w:rsid w:val="00640DCD"/>
    <w:rsid w:val="00713CF1"/>
    <w:rsid w:val="007554AA"/>
    <w:rsid w:val="007E613A"/>
    <w:rsid w:val="00845D25"/>
    <w:rsid w:val="00941184"/>
    <w:rsid w:val="0099422E"/>
    <w:rsid w:val="00A84103"/>
    <w:rsid w:val="00C77E05"/>
    <w:rsid w:val="00D17527"/>
    <w:rsid w:val="00D76D88"/>
    <w:rsid w:val="00DD54E7"/>
    <w:rsid w:val="00E41B33"/>
    <w:rsid w:val="00ED2D76"/>
    <w:rsid w:val="00F06AE4"/>
    <w:rsid w:val="15FC12D5"/>
    <w:rsid w:val="2A355C74"/>
    <w:rsid w:val="3B8604CA"/>
    <w:rsid w:val="3BB95713"/>
    <w:rsid w:val="4D5D5115"/>
    <w:rsid w:val="4D7016D6"/>
    <w:rsid w:val="63784B4B"/>
    <w:rsid w:val="6939568D"/>
    <w:rsid w:val="6EDB0B50"/>
    <w:rsid w:val="6FC40975"/>
    <w:rsid w:val="76BC19BB"/>
    <w:rsid w:val="776C3B43"/>
    <w:rsid w:val="7E99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3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C3BC1"/>
  </w:style>
  <w:style w:type="paragraph" w:styleId="a5">
    <w:name w:val="List Paragraph"/>
    <w:basedOn w:val="a"/>
    <w:uiPriority w:val="34"/>
    <w:qFormat/>
    <w:rsid w:val="003C3B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16</cp:revision>
  <cp:lastPrinted>2020-07-21T01:14:00Z</cp:lastPrinted>
  <dcterms:created xsi:type="dcterms:W3CDTF">2020-04-23T07:00:00Z</dcterms:created>
  <dcterms:modified xsi:type="dcterms:W3CDTF">2021-05-21T01:44:00Z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